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140B4B" w:rsidP="00295B27">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2E655A87" wp14:editId="014EBCB2">
            <wp:simplePos x="0" y="0"/>
            <wp:positionH relativeFrom="column">
              <wp:posOffset>68580</wp:posOffset>
            </wp:positionH>
            <wp:positionV relativeFrom="paragraph">
              <wp:posOffset>-251460</wp:posOffset>
            </wp:positionV>
            <wp:extent cx="1028700" cy="8534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853440"/>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 xml:space="preserve">Content Expert Report </w:t>
      </w:r>
    </w:p>
    <w:p w:rsidR="00295B27" w:rsidRDefault="00140B4B" w:rsidP="00140B4B">
      <w:pPr>
        <w:tabs>
          <w:tab w:val="center" w:pos="4680"/>
        </w:tabs>
        <w:rPr>
          <w:rFonts w:ascii="Calibri" w:hAnsi="Calibri"/>
          <w:b/>
          <w:sz w:val="28"/>
          <w:szCs w:val="28"/>
        </w:rPr>
      </w:pPr>
      <w:r>
        <w:rPr>
          <w:rFonts w:ascii="Calibri" w:hAnsi="Calibri"/>
          <w:b/>
          <w:sz w:val="28"/>
          <w:szCs w:val="28"/>
        </w:rPr>
        <w:tab/>
      </w:r>
      <w:r w:rsidR="00CF65CD">
        <w:rPr>
          <w:rFonts w:ascii="Calibri" w:hAnsi="Calibri"/>
          <w:b/>
          <w:sz w:val="28"/>
          <w:szCs w:val="28"/>
        </w:rPr>
        <w:t>Reading Specialists (Advanced)</w:t>
      </w:r>
      <w:r w:rsidR="00295B27">
        <w:rPr>
          <w:rFonts w:ascii="Calibri" w:hAnsi="Calibri"/>
          <w:b/>
          <w:sz w:val="28"/>
          <w:szCs w:val="28"/>
        </w:rPr>
        <w:t xml:space="preserve"> Education</w:t>
      </w:r>
    </w:p>
    <w:p w:rsidR="00140B4B" w:rsidRPr="00BA3FDA" w:rsidRDefault="00140B4B" w:rsidP="00295B27">
      <w:pPr>
        <w:jc w:val="center"/>
        <w:rPr>
          <w:rFonts w:ascii="Calibri" w:hAnsi="Calibri"/>
          <w:b/>
          <w:sz w:val="28"/>
          <w:szCs w:val="28"/>
        </w:rPr>
      </w:pPr>
      <w:r>
        <w:rPr>
          <w:rFonts w:ascii="Calibri" w:hAnsi="Calibri"/>
          <w:b/>
          <w:sz w:val="28"/>
          <w:szCs w:val="28"/>
        </w:rPr>
        <w:t>(05-17)</w:t>
      </w:r>
    </w:p>
    <w:p w:rsidR="00295B27" w:rsidRPr="00BA3FDA" w:rsidRDefault="00295B27" w:rsidP="00295B27">
      <w:pPr>
        <w:jc w:val="center"/>
        <w:rPr>
          <w:rFonts w:ascii="Calibri" w:hAnsi="Calibri"/>
          <w:b/>
          <w:sz w:val="28"/>
          <w:szCs w:val="28"/>
        </w:rPr>
      </w:pPr>
    </w:p>
    <w:p w:rsidR="00295B27" w:rsidRPr="002529B0" w:rsidRDefault="00295B27" w:rsidP="00295B27">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0C6C75">
        <w:rPr>
          <w:rFonts w:ascii="Calibri" w:hAnsi="Calibri"/>
          <w:b/>
        </w:rPr>
      </w:r>
      <w:r w:rsidR="000C6C75">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0C6C75">
        <w:rPr>
          <w:rFonts w:ascii="Calibri" w:hAnsi="Calibri"/>
          <w:b/>
        </w:rPr>
      </w:r>
      <w:r w:rsidR="000C6C75">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0C6C75">
        <w:rPr>
          <w:rFonts w:ascii="Calibri" w:hAnsi="Calibri"/>
          <w:b/>
        </w:rPr>
      </w:r>
      <w:r w:rsidR="000C6C75">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4B2B22">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4B2B22">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0C6C75">
        <w:rPr>
          <w:rFonts w:ascii="Calibri" w:hAnsi="Calibri"/>
          <w:b/>
        </w:rPr>
      </w:r>
      <w:r w:rsidR="000C6C75">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0C6C75">
        <w:rPr>
          <w:rFonts w:ascii="Calibri" w:hAnsi="Calibri"/>
          <w:b/>
        </w:rPr>
      </w:r>
      <w:r w:rsidR="000C6C75">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4B2B22">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9F449B" w:rsidRDefault="009F449B" w:rsidP="00C42F37">
            <w:pPr>
              <w:widowControl w:val="0"/>
              <w:tabs>
                <w:tab w:val="left" w:pos="1440"/>
              </w:tabs>
              <w:autoSpaceDE w:val="0"/>
              <w:autoSpaceDN w:val="0"/>
              <w:adjustRightInd w:val="0"/>
              <w:jc w:val="center"/>
              <w:rPr>
                <w:rFonts w:ascii="Calibri" w:hAnsi="Calibri"/>
                <w:b/>
              </w:rPr>
            </w:pPr>
            <w:r w:rsidRPr="009F449B">
              <w:rPr>
                <w:rFonts w:ascii="Calibri" w:hAnsi="Calibri"/>
                <w:b/>
              </w:rPr>
              <w:t>05007.1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9F449B" w:rsidP="00C42F37">
            <w:pPr>
              <w:widowControl w:val="0"/>
              <w:tabs>
                <w:tab w:val="left" w:pos="1440"/>
              </w:tabs>
              <w:autoSpaceDE w:val="0"/>
              <w:autoSpaceDN w:val="0"/>
              <w:adjustRightInd w:val="0"/>
              <w:jc w:val="center"/>
              <w:rPr>
                <w:rFonts w:ascii="Calibri" w:hAnsi="Calibri"/>
                <w:b/>
              </w:rPr>
            </w:pPr>
            <w:r w:rsidRPr="009F449B">
              <w:rPr>
                <w:rFonts w:ascii="Calibri" w:hAnsi="Calibri"/>
                <w:b/>
              </w:rPr>
              <w:t>05007.2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9F449B" w:rsidP="00C42F37">
            <w:pPr>
              <w:widowControl w:val="0"/>
              <w:tabs>
                <w:tab w:val="left" w:pos="1440"/>
              </w:tabs>
              <w:autoSpaceDE w:val="0"/>
              <w:autoSpaceDN w:val="0"/>
              <w:adjustRightInd w:val="0"/>
              <w:jc w:val="center"/>
              <w:rPr>
                <w:rFonts w:ascii="Calibri" w:hAnsi="Calibri"/>
                <w:b/>
              </w:rPr>
            </w:pPr>
            <w:r w:rsidRPr="009F449B">
              <w:rPr>
                <w:rFonts w:ascii="Calibri" w:hAnsi="Calibri"/>
                <w:b/>
              </w:rPr>
              <w:t>05007.3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9F449B" w:rsidP="00C42F37">
            <w:pPr>
              <w:widowControl w:val="0"/>
              <w:tabs>
                <w:tab w:val="left" w:pos="1440"/>
              </w:tabs>
              <w:autoSpaceDE w:val="0"/>
              <w:autoSpaceDN w:val="0"/>
              <w:adjustRightInd w:val="0"/>
              <w:jc w:val="center"/>
              <w:rPr>
                <w:rFonts w:ascii="Calibri" w:hAnsi="Calibri"/>
                <w:b/>
              </w:rPr>
            </w:pPr>
            <w:r w:rsidRPr="009F449B">
              <w:rPr>
                <w:rFonts w:ascii="Calibri" w:hAnsi="Calibri"/>
                <w:b/>
              </w:rPr>
              <w:t>05007.4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9F449B" w:rsidP="00C42F37">
            <w:pPr>
              <w:widowControl w:val="0"/>
              <w:tabs>
                <w:tab w:val="left" w:pos="1440"/>
              </w:tabs>
              <w:autoSpaceDE w:val="0"/>
              <w:autoSpaceDN w:val="0"/>
              <w:adjustRightInd w:val="0"/>
              <w:jc w:val="center"/>
              <w:rPr>
                <w:rFonts w:ascii="Calibri" w:hAnsi="Calibri"/>
                <w:b/>
              </w:rPr>
            </w:pPr>
            <w:r w:rsidRPr="009F449B">
              <w:rPr>
                <w:rFonts w:ascii="Calibri" w:hAnsi="Calibri"/>
                <w:b/>
              </w:rPr>
              <w:t>05007.5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9F449B" w:rsidP="00C42F37">
            <w:pPr>
              <w:widowControl w:val="0"/>
              <w:tabs>
                <w:tab w:val="left" w:pos="1440"/>
              </w:tabs>
              <w:autoSpaceDE w:val="0"/>
              <w:autoSpaceDN w:val="0"/>
              <w:adjustRightInd w:val="0"/>
              <w:jc w:val="center"/>
              <w:rPr>
                <w:rFonts w:ascii="Calibri" w:hAnsi="Calibri"/>
                <w:b/>
              </w:rPr>
            </w:pPr>
            <w:r w:rsidRPr="009F449B">
              <w:rPr>
                <w:rFonts w:ascii="Calibri" w:hAnsi="Calibri"/>
                <w:b/>
              </w:rPr>
              <w:t>05007.6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9F449B" w:rsidP="00C42F37">
            <w:pPr>
              <w:widowControl w:val="0"/>
              <w:tabs>
                <w:tab w:val="left" w:pos="1440"/>
              </w:tabs>
              <w:autoSpaceDE w:val="0"/>
              <w:autoSpaceDN w:val="0"/>
              <w:adjustRightInd w:val="0"/>
              <w:jc w:val="center"/>
              <w:rPr>
                <w:rFonts w:ascii="Calibri" w:hAnsi="Calibri"/>
                <w:b/>
              </w:rPr>
            </w:pPr>
            <w:r w:rsidRPr="009F449B">
              <w:rPr>
                <w:rFonts w:ascii="Calibri" w:hAnsi="Calibri"/>
                <w:b/>
              </w:rPr>
              <w:t>05007.7</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9F449B" w:rsidP="00C42F37">
            <w:pPr>
              <w:widowControl w:val="0"/>
              <w:tabs>
                <w:tab w:val="left" w:pos="1440"/>
              </w:tabs>
              <w:autoSpaceDE w:val="0"/>
              <w:autoSpaceDN w:val="0"/>
              <w:adjustRightInd w:val="0"/>
              <w:jc w:val="center"/>
              <w:rPr>
                <w:rFonts w:ascii="Calibri" w:hAnsi="Calibri"/>
                <w:b/>
              </w:rPr>
            </w:pPr>
            <w:r w:rsidRPr="009F449B">
              <w:rPr>
                <w:rFonts w:ascii="Calibri" w:hAnsi="Calibri"/>
                <w:b/>
              </w:rPr>
              <w:t>05007.8</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9F449B" w:rsidP="00C42F37">
            <w:pPr>
              <w:widowControl w:val="0"/>
              <w:tabs>
                <w:tab w:val="left" w:pos="1440"/>
              </w:tabs>
              <w:autoSpaceDE w:val="0"/>
              <w:autoSpaceDN w:val="0"/>
              <w:adjustRightInd w:val="0"/>
              <w:jc w:val="center"/>
              <w:rPr>
                <w:rFonts w:ascii="Calibri" w:hAnsi="Calibri"/>
                <w:b/>
              </w:rPr>
            </w:pPr>
            <w:r w:rsidRPr="009F449B">
              <w:rPr>
                <w:rFonts w:ascii="Calibri" w:hAnsi="Calibri"/>
                <w:b/>
              </w:rPr>
              <w:t>05007.9</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F449B" w:rsidRDefault="009F449B" w:rsidP="00C42F37">
            <w:pPr>
              <w:widowControl w:val="0"/>
              <w:tabs>
                <w:tab w:val="left" w:pos="1440"/>
              </w:tabs>
              <w:autoSpaceDE w:val="0"/>
              <w:autoSpaceDN w:val="0"/>
              <w:adjustRightInd w:val="0"/>
              <w:jc w:val="center"/>
              <w:rPr>
                <w:rFonts w:ascii="Calibri" w:hAnsi="Calibri"/>
                <w:b/>
              </w:rPr>
            </w:pPr>
            <w:r w:rsidRPr="009F449B">
              <w:rPr>
                <w:rFonts w:ascii="Calibri" w:hAnsi="Calibri"/>
                <w:b/>
              </w:rPr>
              <w:t>05007.10</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9F449B" w:rsidTr="00C42F37">
        <w:tc>
          <w:tcPr>
            <w:tcW w:w="2394" w:type="dxa"/>
          </w:tcPr>
          <w:p w:rsidR="009F449B" w:rsidRPr="009F449B" w:rsidRDefault="009F449B" w:rsidP="009F449B">
            <w:pPr>
              <w:widowControl w:val="0"/>
              <w:tabs>
                <w:tab w:val="left" w:pos="1440"/>
              </w:tabs>
              <w:autoSpaceDE w:val="0"/>
              <w:autoSpaceDN w:val="0"/>
              <w:adjustRightInd w:val="0"/>
              <w:jc w:val="center"/>
              <w:rPr>
                <w:rFonts w:ascii="Calibri" w:hAnsi="Calibri"/>
                <w:b/>
              </w:rPr>
            </w:pPr>
            <w:r w:rsidRPr="009F449B">
              <w:rPr>
                <w:rFonts w:ascii="Calibri" w:hAnsi="Calibri"/>
                <w:b/>
              </w:rPr>
              <w:t>05007.11</w:t>
            </w:r>
          </w:p>
        </w:tc>
        <w:tc>
          <w:tcPr>
            <w:tcW w:w="2394" w:type="dxa"/>
          </w:tcPr>
          <w:p w:rsidR="009F449B" w:rsidRDefault="009F449B" w:rsidP="00C42F37">
            <w:pPr>
              <w:widowControl w:val="0"/>
              <w:tabs>
                <w:tab w:val="left" w:pos="1440"/>
              </w:tabs>
              <w:autoSpaceDE w:val="0"/>
              <w:autoSpaceDN w:val="0"/>
              <w:adjustRightInd w:val="0"/>
              <w:jc w:val="center"/>
              <w:rPr>
                <w:rFonts w:ascii="Calibri" w:hAnsi="Calibri"/>
              </w:rPr>
            </w:pPr>
          </w:p>
        </w:tc>
        <w:tc>
          <w:tcPr>
            <w:tcW w:w="2394" w:type="dxa"/>
          </w:tcPr>
          <w:p w:rsidR="009F449B" w:rsidRDefault="009F449B" w:rsidP="00C42F37">
            <w:pPr>
              <w:widowControl w:val="0"/>
              <w:tabs>
                <w:tab w:val="left" w:pos="1440"/>
              </w:tabs>
              <w:autoSpaceDE w:val="0"/>
              <w:autoSpaceDN w:val="0"/>
              <w:adjustRightInd w:val="0"/>
              <w:jc w:val="center"/>
              <w:rPr>
                <w:rFonts w:ascii="Calibri" w:hAnsi="Calibri"/>
              </w:rPr>
            </w:pPr>
          </w:p>
        </w:tc>
        <w:tc>
          <w:tcPr>
            <w:tcW w:w="2394" w:type="dxa"/>
          </w:tcPr>
          <w:p w:rsidR="009F449B" w:rsidRDefault="009F449B" w:rsidP="00C42F37">
            <w:pPr>
              <w:widowControl w:val="0"/>
              <w:tabs>
                <w:tab w:val="left" w:pos="1440"/>
              </w:tabs>
              <w:autoSpaceDE w:val="0"/>
              <w:autoSpaceDN w:val="0"/>
              <w:adjustRightInd w:val="0"/>
              <w:jc w:val="center"/>
              <w:rPr>
                <w:rFonts w:ascii="Calibri" w:hAnsi="Calibri"/>
              </w:rPr>
            </w:pPr>
          </w:p>
        </w:tc>
      </w:tr>
      <w:tr w:rsidR="009F449B" w:rsidTr="00C42F37">
        <w:tc>
          <w:tcPr>
            <w:tcW w:w="2394" w:type="dxa"/>
          </w:tcPr>
          <w:p w:rsidR="009F449B" w:rsidRPr="009F449B" w:rsidRDefault="009F449B" w:rsidP="00C42F37">
            <w:pPr>
              <w:widowControl w:val="0"/>
              <w:tabs>
                <w:tab w:val="left" w:pos="1440"/>
              </w:tabs>
              <w:autoSpaceDE w:val="0"/>
              <w:autoSpaceDN w:val="0"/>
              <w:adjustRightInd w:val="0"/>
              <w:jc w:val="center"/>
              <w:rPr>
                <w:rFonts w:ascii="Calibri" w:hAnsi="Calibri"/>
                <w:b/>
              </w:rPr>
            </w:pPr>
            <w:r w:rsidRPr="009F449B">
              <w:rPr>
                <w:rFonts w:ascii="Calibri" w:hAnsi="Calibri"/>
                <w:b/>
              </w:rPr>
              <w:t>05007.12</w:t>
            </w:r>
          </w:p>
        </w:tc>
        <w:tc>
          <w:tcPr>
            <w:tcW w:w="2394" w:type="dxa"/>
          </w:tcPr>
          <w:p w:rsidR="009F449B" w:rsidRDefault="009F449B" w:rsidP="00C42F37">
            <w:pPr>
              <w:widowControl w:val="0"/>
              <w:tabs>
                <w:tab w:val="left" w:pos="1440"/>
              </w:tabs>
              <w:autoSpaceDE w:val="0"/>
              <w:autoSpaceDN w:val="0"/>
              <w:adjustRightInd w:val="0"/>
              <w:jc w:val="center"/>
              <w:rPr>
                <w:rFonts w:ascii="Calibri" w:hAnsi="Calibri"/>
              </w:rPr>
            </w:pPr>
          </w:p>
        </w:tc>
        <w:tc>
          <w:tcPr>
            <w:tcW w:w="2394" w:type="dxa"/>
          </w:tcPr>
          <w:p w:rsidR="009F449B" w:rsidRDefault="009F449B" w:rsidP="00C42F37">
            <w:pPr>
              <w:widowControl w:val="0"/>
              <w:tabs>
                <w:tab w:val="left" w:pos="1440"/>
              </w:tabs>
              <w:autoSpaceDE w:val="0"/>
              <w:autoSpaceDN w:val="0"/>
              <w:adjustRightInd w:val="0"/>
              <w:jc w:val="center"/>
              <w:rPr>
                <w:rFonts w:ascii="Calibri" w:hAnsi="Calibri"/>
              </w:rPr>
            </w:pPr>
          </w:p>
        </w:tc>
        <w:tc>
          <w:tcPr>
            <w:tcW w:w="2394" w:type="dxa"/>
          </w:tcPr>
          <w:p w:rsidR="009F449B" w:rsidRDefault="009F449B"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295B27" w:rsidRPr="005837D7" w:rsidRDefault="009F449B"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t>Reading Specialists (Advanced)</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295B27" w:rsidRPr="002319B3" w:rsidRDefault="00295B27" w:rsidP="00295B27">
      <w:pPr>
        <w:numPr>
          <w:ilvl w:val="0"/>
          <w:numId w:val="44"/>
        </w:numPr>
        <w:spacing w:line="240" w:lineRule="atLeast"/>
        <w:jc w:val="both"/>
        <w:rPr>
          <w:rFonts w:ascii="Calibri" w:hAnsi="Calibri"/>
        </w:rPr>
      </w:pPr>
      <w:r w:rsidRPr="002319B3">
        <w:rPr>
          <w:rFonts w:ascii="Calibri" w:hAnsi="Calibri"/>
        </w:rPr>
        <w:t xml:space="preserve">Make a </w:t>
      </w:r>
      <w:r>
        <w:rPr>
          <w:rFonts w:ascii="Calibri" w:hAnsi="Calibri"/>
        </w:rPr>
        <w:t>recommendation</w:t>
      </w:r>
      <w:r w:rsidRPr="002319B3">
        <w:rPr>
          <w:rFonts w:ascii="Calibri" w:hAnsi="Calibri"/>
        </w:rPr>
        <w:t xml:space="preserve"> for each </w:t>
      </w:r>
      <w:r>
        <w:rPr>
          <w:rFonts w:ascii="Calibri" w:hAnsi="Calibri"/>
        </w:rPr>
        <w:t xml:space="preserve">program </w:t>
      </w:r>
      <w:r w:rsidRPr="002319B3">
        <w:rPr>
          <w:rFonts w:ascii="Calibri" w:hAnsi="Calibri"/>
        </w:rPr>
        <w:t>standard as to whether it has been met, met wit</w:t>
      </w:r>
      <w:r>
        <w:rPr>
          <w:rFonts w:ascii="Calibri" w:hAnsi="Calibri"/>
        </w:rPr>
        <w:t>h weakness, or not met based on the evidence provided.</w:t>
      </w:r>
    </w:p>
    <w:p w:rsidR="00295B27" w:rsidRDefault="00295B27" w:rsidP="00295B27">
      <w:pPr>
        <w:numPr>
          <w:ilvl w:val="0"/>
          <w:numId w:val="44"/>
        </w:numPr>
        <w:spacing w:line="240" w:lineRule="atLeast"/>
        <w:jc w:val="both"/>
        <w:rPr>
          <w:rFonts w:ascii="Calibri" w:hAnsi="Calibri"/>
        </w:rPr>
      </w:pPr>
      <w:r>
        <w:rPr>
          <w:rFonts w:ascii="Calibri" w:hAnsi="Calibri"/>
        </w:rPr>
        <w:t xml:space="preserve">For any standard “met with weakness” </w:t>
      </w:r>
      <w:r w:rsidR="00FF03A6">
        <w:rPr>
          <w:rFonts w:ascii="Calibri" w:hAnsi="Calibri"/>
        </w:rPr>
        <w:t xml:space="preserve">or “not met” </w:t>
      </w:r>
      <w:r>
        <w:rPr>
          <w:rFonts w:ascii="Calibri" w:hAnsi="Calibri"/>
        </w:rPr>
        <w:t>identify the</w:t>
      </w:r>
      <w:r w:rsidRPr="006A6FFD">
        <w:rPr>
          <w:rFonts w:ascii="Calibri" w:hAnsi="Calibri"/>
        </w:rPr>
        <w:t xml:space="preserve"> </w:t>
      </w:r>
      <w:proofErr w:type="gramStart"/>
      <w:r w:rsidRPr="006A6FFD">
        <w:rPr>
          <w:rFonts w:ascii="Calibri" w:hAnsi="Calibri"/>
        </w:rPr>
        <w:t>weakness</w:t>
      </w:r>
      <w:r w:rsidR="00FF03A6">
        <w:rPr>
          <w:rFonts w:ascii="Calibri" w:hAnsi="Calibri"/>
        </w:rPr>
        <w:t>(</w:t>
      </w:r>
      <w:proofErr w:type="spellStart"/>
      <w:proofErr w:type="gramEnd"/>
      <w:r w:rsidR="00FF03A6">
        <w:rPr>
          <w:rFonts w:ascii="Calibri" w:hAnsi="Calibri"/>
        </w:rPr>
        <w:t>es</w:t>
      </w:r>
      <w:proofErr w:type="spellEnd"/>
      <w:r w:rsidR="00FF03A6">
        <w:rPr>
          <w:rFonts w:ascii="Calibri" w:hAnsi="Calibri"/>
        </w:rPr>
        <w:t>)</w:t>
      </w:r>
      <w:r>
        <w:rPr>
          <w:rFonts w:ascii="Calibri" w:hAnsi="Calibri"/>
        </w:rPr>
        <w:t xml:space="preserve"> </w:t>
      </w:r>
      <w:r w:rsidRPr="006A6FFD">
        <w:rPr>
          <w:rFonts w:ascii="Calibri" w:hAnsi="Calibri"/>
        </w:rPr>
        <w:t xml:space="preserve">and provide a </w:t>
      </w:r>
      <w:r>
        <w:rPr>
          <w:rFonts w:ascii="Calibri" w:hAnsi="Calibri"/>
        </w:rPr>
        <w:t>rationale.</w:t>
      </w:r>
    </w:p>
    <w:p w:rsidR="00FF03A6" w:rsidRPr="00FF03A6" w:rsidRDefault="00FF03A6" w:rsidP="00501237">
      <w:pPr>
        <w:spacing w:line="240" w:lineRule="atLeast"/>
        <w:ind w:left="720"/>
        <w:jc w:val="both"/>
        <w:rPr>
          <w:rFonts w:ascii="Calibri" w:hAnsi="Calibri"/>
        </w:rPr>
      </w:pPr>
    </w:p>
    <w:p w:rsidR="00034838" w:rsidRDefault="00034838" w:rsidP="00295B27">
      <w:pPr>
        <w:widowControl w:val="0"/>
        <w:tabs>
          <w:tab w:val="left" w:pos="1440"/>
        </w:tabs>
        <w:autoSpaceDE w:val="0"/>
        <w:autoSpaceDN w:val="0"/>
        <w:adjustRightInd w:val="0"/>
        <w:jc w:val="both"/>
        <w:rPr>
          <w:rFonts w:ascii="Calibri" w:hAnsi="Calibri"/>
          <w:b/>
          <w:bCs/>
        </w:rPr>
      </w:pPr>
    </w:p>
    <w:p w:rsidR="00034838" w:rsidRPr="000C6C75" w:rsidRDefault="009F449B" w:rsidP="00C720E2">
      <w:pPr>
        <w:autoSpaceDE w:val="0"/>
        <w:autoSpaceDN w:val="0"/>
        <w:adjustRightInd w:val="0"/>
        <w:rPr>
          <w:rFonts w:ascii="Calibri" w:eastAsiaTheme="minorHAnsi" w:hAnsi="Calibri" w:cs="Calibri"/>
        </w:rPr>
      </w:pPr>
      <w:r w:rsidRPr="00986EA3">
        <w:rPr>
          <w:rFonts w:ascii="Calibri-Bold" w:eastAsiaTheme="minorHAnsi" w:hAnsi="Calibri-Bold" w:cs="Calibri-Bold"/>
          <w:b/>
          <w:bCs/>
          <w:sz w:val="22"/>
          <w:szCs w:val="22"/>
        </w:rPr>
        <w:t>05007.1</w:t>
      </w:r>
      <w:r w:rsidRPr="009F449B">
        <w:rPr>
          <w:rFonts w:ascii="Calibri-Bold" w:eastAsiaTheme="minorHAnsi" w:hAnsi="Calibri-Bold" w:cs="Calibri-Bold"/>
          <w:b/>
          <w:bCs/>
        </w:rPr>
        <w:t xml:space="preserve"> </w:t>
      </w:r>
      <w:r w:rsidR="00C720E2" w:rsidRPr="000C6C75">
        <w:rPr>
          <w:rFonts w:ascii="Calibri" w:eastAsiaTheme="minorHAnsi" w:hAnsi="Calibri" w:cs="Calibri"/>
          <w:b/>
        </w:rPr>
        <w:t xml:space="preserve">The </w:t>
      </w:r>
      <w:r w:rsidR="00986EA3" w:rsidRPr="000C6C75">
        <w:rPr>
          <w:rFonts w:ascii="Calibri" w:eastAsiaTheme="minorHAnsi" w:hAnsi="Calibri" w:cs="Calibri"/>
          <w:b/>
        </w:rPr>
        <w:t xml:space="preserve">program requires the study of </w:t>
      </w:r>
      <w:r w:rsidR="00C720E2" w:rsidRPr="000C6C75">
        <w:rPr>
          <w:rFonts w:ascii="Calibri" w:eastAsiaTheme="minorHAnsi" w:hAnsi="Calibri" w:cs="Calibri"/>
          <w:b/>
        </w:rPr>
        <w:t>language as a symbolic system, of the linguistic and cognitive bases of literacy, and of major theories of language and cognitive development</w:t>
      </w:r>
      <w:r w:rsidRPr="000C6C75">
        <w:rPr>
          <w:rFonts w:ascii="Calibri" w:eastAsiaTheme="minorHAnsi" w:hAnsi="Calibri" w:cs="Calibri"/>
          <w:b/>
        </w:rPr>
        <w:t>.</w:t>
      </w:r>
    </w:p>
    <w:p w:rsidR="009F449B" w:rsidRDefault="009F449B"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86EA3">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0C6C75" w:rsidRDefault="009F449B" w:rsidP="00C720E2">
      <w:pPr>
        <w:autoSpaceDE w:val="0"/>
        <w:autoSpaceDN w:val="0"/>
        <w:adjustRightInd w:val="0"/>
        <w:rPr>
          <w:rFonts w:ascii="Calibri" w:hAnsi="Calibri"/>
          <w:b/>
          <w:color w:val="000000"/>
        </w:rPr>
      </w:pPr>
      <w:r w:rsidRPr="00986EA3">
        <w:rPr>
          <w:rFonts w:ascii="Calibri-Bold" w:eastAsiaTheme="minorHAnsi" w:hAnsi="Calibri-Bold" w:cs="Calibri-Bold"/>
          <w:b/>
          <w:bCs/>
          <w:sz w:val="22"/>
          <w:szCs w:val="22"/>
        </w:rPr>
        <w:t>05007.2</w:t>
      </w:r>
      <w:r w:rsidRPr="009F449B">
        <w:rPr>
          <w:rFonts w:ascii="Calibri-Bold" w:eastAsiaTheme="minorHAnsi" w:hAnsi="Calibri-Bold" w:cs="Calibri-Bold"/>
          <w:b/>
          <w:bCs/>
        </w:rPr>
        <w:t xml:space="preserve"> </w:t>
      </w:r>
      <w:r w:rsidR="00C720E2" w:rsidRPr="000C6C75">
        <w:rPr>
          <w:rFonts w:ascii="Calibri" w:eastAsiaTheme="minorHAnsi" w:hAnsi="Calibri" w:cs="Calibri"/>
          <w:b/>
        </w:rPr>
        <w:t xml:space="preserve">The </w:t>
      </w:r>
      <w:r w:rsidR="00986EA3" w:rsidRPr="000C6C75">
        <w:rPr>
          <w:rFonts w:ascii="Calibri" w:eastAsiaTheme="minorHAnsi" w:hAnsi="Calibri" w:cs="Calibri"/>
          <w:b/>
        </w:rPr>
        <w:t xml:space="preserve">program requires study of and </w:t>
      </w:r>
      <w:r w:rsidR="00C720E2" w:rsidRPr="000C6C75">
        <w:rPr>
          <w:rFonts w:ascii="Calibri" w:eastAsiaTheme="minorHAnsi" w:hAnsi="Calibri" w:cs="Calibri"/>
          <w:b/>
        </w:rPr>
        <w:t>experiences with teaching literal and interpretive comprehension, critical comprehension, and reference and study skills.</w:t>
      </w:r>
    </w:p>
    <w:p w:rsidR="009F449B" w:rsidRPr="009F449B" w:rsidRDefault="009F449B" w:rsidP="00295B27">
      <w:pPr>
        <w:pStyle w:val="BodyTextIndent"/>
        <w:ind w:left="720" w:hanging="360"/>
        <w:jc w:val="both"/>
        <w:rPr>
          <w:rFonts w:ascii="Calibri" w:hAnsi="Calibri"/>
          <w:szCs w:val="24"/>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86EA3">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140B4B" w:rsidRDefault="000C6C75" w:rsidP="00140B4B">
      <w:pPr>
        <w:spacing w:after="200" w:line="276" w:lineRule="auto"/>
        <w:rPr>
          <w:rFonts w:ascii="Calibri" w:hAnsi="Calibri"/>
        </w:rPr>
      </w:pPr>
      <w:r>
        <w:rPr>
          <w:rFonts w:ascii="Calibri" w:hAnsi="Calibri"/>
        </w:rPr>
        <w:t xml:space="preserve"> </w:t>
      </w:r>
      <w:r>
        <w:rPr>
          <w:rFonts w:ascii="Calibri" w:hAnsi="Calibri"/>
        </w:rPr>
        <w:tab/>
      </w:r>
      <w:r w:rsidR="00295B27">
        <w:rPr>
          <w:rFonts w:ascii="Calibri" w:hAnsi="Calibri"/>
        </w:rPr>
        <w:t xml:space="preserve">ii.   </w:t>
      </w:r>
      <w:r w:rsidR="00295B27" w:rsidRPr="00C8134A">
        <w:rPr>
          <w:rFonts w:ascii="Calibri" w:hAnsi="Calibri"/>
          <w:b/>
        </w:rPr>
        <w:t>Rationale:</w:t>
      </w:r>
    </w:p>
    <w:p w:rsidR="00295B27" w:rsidRPr="003F35A0" w:rsidRDefault="00295B27" w:rsidP="00295B27">
      <w:pPr>
        <w:ind w:left="720"/>
        <w:jc w:val="both"/>
        <w:rPr>
          <w:rFonts w:ascii="Calibri" w:hAnsi="Calibri"/>
          <w:b/>
        </w:rPr>
      </w:pPr>
    </w:p>
    <w:p w:rsidR="00295B27" w:rsidRPr="000C6C75" w:rsidRDefault="009F449B" w:rsidP="00C720E2">
      <w:pPr>
        <w:autoSpaceDE w:val="0"/>
        <w:autoSpaceDN w:val="0"/>
        <w:adjustRightInd w:val="0"/>
        <w:rPr>
          <w:rFonts w:ascii="Calibri" w:hAnsi="Calibri"/>
          <w:b/>
        </w:rPr>
      </w:pPr>
      <w:r w:rsidRPr="00986EA3">
        <w:rPr>
          <w:rFonts w:ascii="Calibri-Bold" w:eastAsiaTheme="minorHAnsi" w:hAnsi="Calibri-Bold" w:cs="Calibri-Bold"/>
          <w:b/>
          <w:bCs/>
          <w:sz w:val="22"/>
          <w:szCs w:val="22"/>
        </w:rPr>
        <w:t>05007.3</w:t>
      </w:r>
      <w:r w:rsidRPr="009F449B">
        <w:rPr>
          <w:rFonts w:ascii="Calibri-Bold" w:eastAsiaTheme="minorHAnsi" w:hAnsi="Calibri-Bold" w:cs="Calibri-Bold"/>
          <w:b/>
          <w:bCs/>
        </w:rPr>
        <w:t xml:space="preserve"> </w:t>
      </w:r>
      <w:r w:rsidR="00C720E2" w:rsidRPr="000C6C75">
        <w:rPr>
          <w:rFonts w:ascii="Calibri" w:eastAsiaTheme="minorHAnsi" w:hAnsi="Calibri" w:cs="Calibri"/>
          <w:b/>
        </w:rPr>
        <w:t xml:space="preserve">The </w:t>
      </w:r>
      <w:r w:rsidR="00986EA3" w:rsidRPr="000C6C75">
        <w:rPr>
          <w:rFonts w:ascii="Calibri" w:eastAsiaTheme="minorHAnsi" w:hAnsi="Calibri" w:cs="Calibri"/>
          <w:b/>
        </w:rPr>
        <w:t>program requires study of and</w:t>
      </w:r>
      <w:r w:rsidR="00C720E2" w:rsidRPr="000C6C75">
        <w:rPr>
          <w:rFonts w:ascii="Calibri" w:eastAsiaTheme="minorHAnsi" w:hAnsi="Calibri" w:cs="Calibri"/>
          <w:b/>
        </w:rPr>
        <w:t xml:space="preserve"> experiences with teaching a variety of strategies which enable word recognition for comprehension and/or which develop and extend vocabulary.</w:t>
      </w:r>
    </w:p>
    <w:p w:rsidR="009F449B" w:rsidRDefault="009F449B"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86EA3">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0C6C75" w:rsidRDefault="009F449B" w:rsidP="00C720E2">
      <w:pPr>
        <w:autoSpaceDE w:val="0"/>
        <w:autoSpaceDN w:val="0"/>
        <w:adjustRightInd w:val="0"/>
        <w:rPr>
          <w:rFonts w:ascii="Calibri" w:hAnsi="Calibri"/>
          <w:b/>
          <w:color w:val="000000"/>
        </w:rPr>
      </w:pPr>
      <w:r w:rsidRPr="00986EA3">
        <w:rPr>
          <w:rFonts w:ascii="Calibri-Bold" w:eastAsiaTheme="minorHAnsi" w:hAnsi="Calibri-Bold" w:cs="Calibri-Bold"/>
          <w:b/>
          <w:bCs/>
          <w:sz w:val="22"/>
          <w:szCs w:val="22"/>
        </w:rPr>
        <w:t>05007.4</w:t>
      </w:r>
      <w:r w:rsidRPr="009F449B">
        <w:rPr>
          <w:rFonts w:ascii="Calibri-Bold" w:eastAsiaTheme="minorHAnsi" w:hAnsi="Calibri-Bold" w:cs="Calibri-Bold"/>
          <w:b/>
          <w:bCs/>
        </w:rPr>
        <w:t xml:space="preserve"> </w:t>
      </w:r>
      <w:r w:rsidR="00C720E2" w:rsidRPr="000C6C75">
        <w:rPr>
          <w:rFonts w:ascii="Calibri" w:eastAsiaTheme="minorHAnsi" w:hAnsi="Calibri" w:cs="Calibri"/>
          <w:b/>
        </w:rPr>
        <w:t xml:space="preserve">The </w:t>
      </w:r>
      <w:r w:rsidR="00986EA3" w:rsidRPr="000C6C75">
        <w:rPr>
          <w:rFonts w:ascii="Calibri" w:eastAsiaTheme="minorHAnsi" w:hAnsi="Calibri" w:cs="Calibri"/>
          <w:b/>
        </w:rPr>
        <w:t xml:space="preserve">program requires study of and </w:t>
      </w:r>
      <w:r w:rsidR="00C720E2" w:rsidRPr="000C6C75">
        <w:rPr>
          <w:rFonts w:ascii="Calibri" w:eastAsiaTheme="minorHAnsi" w:hAnsi="Calibri" w:cs="Calibri"/>
          <w:b/>
        </w:rPr>
        <w:t xml:space="preserve">experiences with teaching appreciation of literature in various literacy </w:t>
      </w:r>
      <w:proofErr w:type="gramStart"/>
      <w:r w:rsidR="00C720E2" w:rsidRPr="000C6C75">
        <w:rPr>
          <w:rFonts w:ascii="Calibri" w:eastAsiaTheme="minorHAnsi" w:hAnsi="Calibri" w:cs="Calibri"/>
          <w:b/>
        </w:rPr>
        <w:t>genre</w:t>
      </w:r>
      <w:proofErr w:type="gramEnd"/>
      <w:r w:rsidR="00C720E2" w:rsidRPr="000C6C75">
        <w:rPr>
          <w:rFonts w:ascii="Calibri" w:eastAsiaTheme="minorHAnsi" w:hAnsi="Calibri" w:cs="Calibri"/>
          <w:b/>
        </w:rPr>
        <w:t>, personal‐social growth through reading, and the use of fiction and content area reading to encourage lifelong learning.</w:t>
      </w:r>
    </w:p>
    <w:p w:rsidR="009F449B" w:rsidRDefault="009F449B"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86EA3">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0C6C75" w:rsidRDefault="000C6C75" w:rsidP="00C720E2">
      <w:pPr>
        <w:autoSpaceDE w:val="0"/>
        <w:autoSpaceDN w:val="0"/>
        <w:adjustRightInd w:val="0"/>
        <w:rPr>
          <w:rFonts w:ascii="Calibri-Bold" w:eastAsiaTheme="minorHAnsi" w:hAnsi="Calibri-Bold" w:cs="Calibri-Bold"/>
          <w:b/>
          <w:bCs/>
          <w:sz w:val="22"/>
          <w:szCs w:val="22"/>
        </w:rPr>
      </w:pPr>
    </w:p>
    <w:p w:rsidR="000C6C75" w:rsidRDefault="000C6C75" w:rsidP="00C720E2">
      <w:pPr>
        <w:autoSpaceDE w:val="0"/>
        <w:autoSpaceDN w:val="0"/>
        <w:adjustRightInd w:val="0"/>
        <w:rPr>
          <w:rFonts w:ascii="Calibri-Bold" w:eastAsiaTheme="minorHAnsi" w:hAnsi="Calibri-Bold" w:cs="Calibri-Bold"/>
          <w:b/>
          <w:bCs/>
          <w:sz w:val="22"/>
          <w:szCs w:val="22"/>
        </w:rPr>
      </w:pPr>
    </w:p>
    <w:p w:rsidR="000C6C75" w:rsidRDefault="000C6C75" w:rsidP="00C720E2">
      <w:pPr>
        <w:autoSpaceDE w:val="0"/>
        <w:autoSpaceDN w:val="0"/>
        <w:adjustRightInd w:val="0"/>
        <w:rPr>
          <w:rFonts w:ascii="Calibri-Bold" w:eastAsiaTheme="minorHAnsi" w:hAnsi="Calibri-Bold" w:cs="Calibri-Bold"/>
          <w:b/>
          <w:bCs/>
          <w:sz w:val="22"/>
          <w:szCs w:val="22"/>
        </w:rPr>
      </w:pPr>
    </w:p>
    <w:p w:rsidR="000C6C75" w:rsidRDefault="000C6C75" w:rsidP="00C720E2">
      <w:pPr>
        <w:autoSpaceDE w:val="0"/>
        <w:autoSpaceDN w:val="0"/>
        <w:adjustRightInd w:val="0"/>
        <w:rPr>
          <w:rFonts w:ascii="Calibri-Bold" w:eastAsiaTheme="minorHAnsi" w:hAnsi="Calibri-Bold" w:cs="Calibri-Bold"/>
          <w:b/>
          <w:bCs/>
          <w:sz w:val="22"/>
          <w:szCs w:val="22"/>
        </w:rPr>
      </w:pPr>
    </w:p>
    <w:p w:rsidR="000C6C75" w:rsidRDefault="000C6C75" w:rsidP="00C720E2">
      <w:pPr>
        <w:autoSpaceDE w:val="0"/>
        <w:autoSpaceDN w:val="0"/>
        <w:adjustRightInd w:val="0"/>
        <w:rPr>
          <w:rFonts w:ascii="Calibri-Bold" w:eastAsiaTheme="minorHAnsi" w:hAnsi="Calibri-Bold" w:cs="Calibri-Bold"/>
          <w:b/>
          <w:bCs/>
          <w:sz w:val="22"/>
          <w:szCs w:val="22"/>
        </w:rPr>
      </w:pPr>
    </w:p>
    <w:p w:rsidR="000C6C75" w:rsidRDefault="000C6C75" w:rsidP="00C720E2">
      <w:pPr>
        <w:autoSpaceDE w:val="0"/>
        <w:autoSpaceDN w:val="0"/>
        <w:adjustRightInd w:val="0"/>
        <w:rPr>
          <w:rFonts w:ascii="Calibri-Bold" w:eastAsiaTheme="minorHAnsi" w:hAnsi="Calibri-Bold" w:cs="Calibri-Bold"/>
          <w:b/>
          <w:bCs/>
          <w:sz w:val="22"/>
          <w:szCs w:val="22"/>
        </w:rPr>
      </w:pPr>
    </w:p>
    <w:p w:rsidR="00295B27" w:rsidRPr="000C6C75" w:rsidRDefault="009F449B" w:rsidP="00C720E2">
      <w:pPr>
        <w:autoSpaceDE w:val="0"/>
        <w:autoSpaceDN w:val="0"/>
        <w:adjustRightInd w:val="0"/>
        <w:rPr>
          <w:rFonts w:ascii="Calibri" w:hAnsi="Calibri"/>
          <w:b/>
          <w:color w:val="000000"/>
        </w:rPr>
      </w:pPr>
      <w:r w:rsidRPr="00986EA3">
        <w:rPr>
          <w:rFonts w:ascii="Calibri-Bold" w:eastAsiaTheme="minorHAnsi" w:hAnsi="Calibri-Bold" w:cs="Calibri-Bold"/>
          <w:b/>
          <w:bCs/>
          <w:sz w:val="22"/>
          <w:szCs w:val="22"/>
        </w:rPr>
        <w:t>05007.5</w:t>
      </w:r>
      <w:r w:rsidRPr="009F449B">
        <w:rPr>
          <w:rFonts w:ascii="Calibri-Bold" w:eastAsiaTheme="minorHAnsi" w:hAnsi="Calibri-Bold" w:cs="Calibri-Bold"/>
          <w:b/>
          <w:bCs/>
        </w:rPr>
        <w:t xml:space="preserve"> </w:t>
      </w:r>
      <w:r w:rsidR="00C720E2" w:rsidRPr="000C6C75">
        <w:rPr>
          <w:rFonts w:ascii="Calibri" w:eastAsiaTheme="minorHAnsi" w:hAnsi="Calibri" w:cs="Calibri"/>
          <w:b/>
        </w:rPr>
        <w:t xml:space="preserve">The </w:t>
      </w:r>
      <w:r w:rsidR="00986EA3" w:rsidRPr="000C6C75">
        <w:rPr>
          <w:rFonts w:ascii="Calibri" w:eastAsiaTheme="minorHAnsi" w:hAnsi="Calibri" w:cs="Calibri"/>
          <w:b/>
        </w:rPr>
        <w:t>program requires study of and</w:t>
      </w:r>
      <w:r w:rsidR="00C720E2" w:rsidRPr="000C6C75">
        <w:rPr>
          <w:rFonts w:ascii="Calibri" w:eastAsiaTheme="minorHAnsi" w:hAnsi="Calibri" w:cs="Calibri"/>
          <w:b/>
        </w:rPr>
        <w:t xml:space="preserve"> experiences in the use of various assessment techniques and instruments in collaboration with other professionals in assessing students with severe reading needs.</w:t>
      </w:r>
    </w:p>
    <w:p w:rsidR="009F449B" w:rsidRDefault="009F449B" w:rsidP="00295B27">
      <w:pPr>
        <w:pStyle w:val="BodyTextIndent"/>
        <w:ind w:left="720" w:hanging="360"/>
        <w:jc w:val="both"/>
        <w:rPr>
          <w:rFonts w:ascii="Calibri" w:hAnsi="Calibri"/>
        </w:rPr>
      </w:pPr>
    </w:p>
    <w:p w:rsidR="00295B27" w:rsidRPr="000C6C75" w:rsidRDefault="000C6C75" w:rsidP="000C6C75">
      <w:pPr>
        <w:spacing w:after="200" w:line="276" w:lineRule="auto"/>
        <w:rPr>
          <w:rFonts w:ascii="Calibri" w:hAnsi="Calibri"/>
          <w:szCs w:val="20"/>
        </w:rPr>
      </w:pPr>
      <w:r>
        <w:rPr>
          <w:rFonts w:ascii="Calibri" w:hAnsi="Calibri"/>
        </w:rPr>
        <w:t xml:space="preserve">       </w:t>
      </w:r>
      <w:r w:rsidR="00295B27" w:rsidRPr="00BA3FDA">
        <w:rPr>
          <w:rFonts w:ascii="Calibri" w:hAnsi="Calibri"/>
        </w:rPr>
        <w:t>A.</w:t>
      </w:r>
      <w:r w:rsidR="00295B27" w:rsidRPr="00BA3FDA">
        <w:rPr>
          <w:rFonts w:ascii="Calibri" w:hAnsi="Calibri"/>
        </w:rPr>
        <w:tab/>
      </w:r>
      <w:r w:rsidR="00295B27" w:rsidRPr="00C8134A">
        <w:rPr>
          <w:rFonts w:ascii="Calibri" w:hAnsi="Calibri"/>
          <w:b/>
        </w:rPr>
        <w:t>Content Expert Decision</w:t>
      </w:r>
      <w:r w:rsidR="00295B27" w:rsidRPr="00BA3FDA">
        <w:rPr>
          <w:rFonts w:ascii="Calibri" w:hAnsi="Calibri"/>
        </w:rPr>
        <w:t xml:space="preserve">:  </w:t>
      </w:r>
      <w:r w:rsidR="00295B27" w:rsidRPr="00030A06">
        <w:rPr>
          <w:rFonts w:ascii="Calibri" w:hAnsi="Calibri"/>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86EA3">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7557C5" w:rsidRPr="009F449B" w:rsidRDefault="009F449B" w:rsidP="00C720E2">
      <w:pPr>
        <w:autoSpaceDE w:val="0"/>
        <w:autoSpaceDN w:val="0"/>
        <w:adjustRightInd w:val="0"/>
        <w:rPr>
          <w:rFonts w:ascii="Calibri" w:hAnsi="Calibri"/>
          <w:color w:val="000000"/>
        </w:rPr>
      </w:pPr>
      <w:r w:rsidRPr="00986EA3">
        <w:rPr>
          <w:rFonts w:ascii="Calibri-Bold" w:eastAsiaTheme="minorHAnsi" w:hAnsi="Calibri-Bold" w:cs="Calibri-Bold"/>
          <w:b/>
          <w:bCs/>
          <w:sz w:val="22"/>
          <w:szCs w:val="22"/>
        </w:rPr>
        <w:t>05007.6</w:t>
      </w:r>
      <w:r w:rsidRPr="009F449B">
        <w:rPr>
          <w:rFonts w:ascii="Calibri-Bold" w:eastAsiaTheme="minorHAnsi" w:hAnsi="Calibri-Bold" w:cs="Calibri-Bold"/>
          <w:b/>
          <w:bCs/>
        </w:rPr>
        <w:t xml:space="preserve"> </w:t>
      </w:r>
      <w:r w:rsidR="00986EA3" w:rsidRPr="000C6C75">
        <w:rPr>
          <w:rFonts w:ascii="Calibri" w:eastAsiaTheme="minorHAnsi" w:hAnsi="Calibri" w:cs="Calibri"/>
          <w:b/>
        </w:rPr>
        <w:t xml:space="preserve">The program requires study of </w:t>
      </w:r>
      <w:r w:rsidR="00C720E2" w:rsidRPr="000C6C75">
        <w:rPr>
          <w:rFonts w:ascii="Calibri" w:eastAsiaTheme="minorHAnsi" w:hAnsi="Calibri" w:cs="Calibri"/>
          <w:b/>
        </w:rPr>
        <w:t>the self‐contained classroom and resource room for flexible grouping, differentiated instruction, and patterns of student language development</w:t>
      </w:r>
      <w:r w:rsidR="00C720E2">
        <w:rPr>
          <w:rFonts w:ascii="Calibri" w:eastAsiaTheme="minorHAnsi" w:hAnsi="Calibri" w:cs="Calibri"/>
          <w:sz w:val="22"/>
          <w:szCs w:val="22"/>
        </w:rPr>
        <w:t>.</w:t>
      </w:r>
    </w:p>
    <w:p w:rsidR="009F449B" w:rsidRDefault="009F449B"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86EA3">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295B27" w:rsidRPr="000C6C75" w:rsidRDefault="009F449B" w:rsidP="00C720E2">
      <w:pPr>
        <w:autoSpaceDE w:val="0"/>
        <w:autoSpaceDN w:val="0"/>
        <w:adjustRightInd w:val="0"/>
        <w:rPr>
          <w:rFonts w:ascii="Calibri" w:hAnsi="Calibri"/>
          <w:b/>
          <w:color w:val="000000"/>
        </w:rPr>
      </w:pPr>
      <w:r w:rsidRPr="00986EA3">
        <w:rPr>
          <w:rFonts w:ascii="Calibri-Bold" w:eastAsiaTheme="minorHAnsi" w:hAnsi="Calibri-Bold" w:cs="Calibri-Bold"/>
          <w:b/>
          <w:bCs/>
          <w:sz w:val="22"/>
          <w:szCs w:val="22"/>
        </w:rPr>
        <w:t>05007.7</w:t>
      </w:r>
      <w:r w:rsidRPr="009F449B">
        <w:rPr>
          <w:rFonts w:ascii="Calibri-Bold" w:eastAsiaTheme="minorHAnsi" w:hAnsi="Calibri-Bold" w:cs="Calibri-Bold"/>
          <w:b/>
          <w:bCs/>
        </w:rPr>
        <w:t xml:space="preserve"> </w:t>
      </w:r>
      <w:r w:rsidR="00C720E2" w:rsidRPr="000C6C75">
        <w:rPr>
          <w:rFonts w:ascii="Calibri" w:eastAsiaTheme="minorHAnsi" w:hAnsi="Calibri" w:cs="Calibri"/>
          <w:b/>
        </w:rPr>
        <w:t xml:space="preserve">The </w:t>
      </w:r>
      <w:r w:rsidR="00986EA3" w:rsidRPr="000C6C75">
        <w:rPr>
          <w:rFonts w:ascii="Calibri" w:eastAsiaTheme="minorHAnsi" w:hAnsi="Calibri" w:cs="Calibri"/>
          <w:b/>
        </w:rPr>
        <w:t xml:space="preserve">program requires study of </w:t>
      </w:r>
      <w:r w:rsidR="00C720E2" w:rsidRPr="000C6C75">
        <w:rPr>
          <w:rFonts w:ascii="Calibri" w:eastAsiaTheme="minorHAnsi" w:hAnsi="Calibri" w:cs="Calibri"/>
          <w:b/>
        </w:rPr>
        <w:t>curriculum development to integrate reading, writing, speaking, and listening.</w:t>
      </w:r>
    </w:p>
    <w:p w:rsidR="009F449B" w:rsidRDefault="009F449B"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86EA3">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7557C5"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7557C5">
      <w:pPr>
        <w:pStyle w:val="BodyTextIndent"/>
        <w:ind w:left="720" w:hanging="360"/>
        <w:jc w:val="both"/>
        <w:rPr>
          <w:rFonts w:ascii="Calibri" w:hAnsi="Calibri"/>
          <w:color w:val="000000"/>
        </w:rPr>
      </w:pPr>
    </w:p>
    <w:p w:rsidR="00295B27" w:rsidRPr="009F449B" w:rsidRDefault="009F449B" w:rsidP="00C720E2">
      <w:pPr>
        <w:autoSpaceDE w:val="0"/>
        <w:autoSpaceDN w:val="0"/>
        <w:adjustRightInd w:val="0"/>
        <w:rPr>
          <w:rFonts w:ascii="Calibri" w:hAnsi="Calibri"/>
          <w:color w:val="000000"/>
        </w:rPr>
      </w:pPr>
      <w:r w:rsidRPr="00986EA3">
        <w:rPr>
          <w:rFonts w:ascii="Calibri-Bold" w:eastAsiaTheme="minorHAnsi" w:hAnsi="Calibri-Bold" w:cs="Calibri-Bold"/>
          <w:b/>
          <w:bCs/>
          <w:sz w:val="22"/>
          <w:szCs w:val="22"/>
        </w:rPr>
        <w:t>05007.8</w:t>
      </w:r>
      <w:r w:rsidRPr="009F449B">
        <w:rPr>
          <w:rFonts w:ascii="Calibri-Bold" w:eastAsiaTheme="minorHAnsi" w:hAnsi="Calibri-Bold" w:cs="Calibri-Bold"/>
          <w:b/>
          <w:bCs/>
        </w:rPr>
        <w:t xml:space="preserve"> </w:t>
      </w:r>
      <w:r w:rsidR="00C720E2" w:rsidRPr="000C6C75">
        <w:rPr>
          <w:rFonts w:ascii="Calibri" w:eastAsiaTheme="minorHAnsi" w:hAnsi="Calibri" w:cs="Calibri"/>
          <w:b/>
        </w:rPr>
        <w:t xml:space="preserve">The </w:t>
      </w:r>
      <w:r w:rsidR="00986EA3" w:rsidRPr="000C6C75">
        <w:rPr>
          <w:rFonts w:ascii="Calibri" w:eastAsiaTheme="minorHAnsi" w:hAnsi="Calibri" w:cs="Calibri"/>
          <w:b/>
        </w:rPr>
        <w:t xml:space="preserve">program requires study of </w:t>
      </w:r>
      <w:r w:rsidR="00C720E2" w:rsidRPr="000C6C75">
        <w:rPr>
          <w:rFonts w:ascii="Calibri" w:eastAsiaTheme="minorHAnsi" w:hAnsi="Calibri" w:cs="Calibri"/>
          <w:b/>
        </w:rPr>
        <w:t>knowledge and use of effective teaching strategies must include direct instruction and self‐monitoring techniques</w:t>
      </w:r>
      <w:r w:rsidR="00C720E2">
        <w:rPr>
          <w:rFonts w:ascii="Calibri" w:eastAsiaTheme="minorHAnsi" w:hAnsi="Calibri" w:cs="Calibri"/>
          <w:sz w:val="22"/>
          <w:szCs w:val="22"/>
        </w:rPr>
        <w:t>.</w:t>
      </w:r>
    </w:p>
    <w:p w:rsidR="009F449B" w:rsidRDefault="009F449B" w:rsidP="00295B27">
      <w:pPr>
        <w:pStyle w:val="BodyTextIndent"/>
        <w:ind w:left="720" w:hanging="360"/>
        <w:jc w:val="both"/>
        <w:rPr>
          <w:rFonts w:ascii="Calibri" w:hAnsi="Calibri"/>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86EA3">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360"/>
        <w:jc w:val="both"/>
        <w:rPr>
          <w:rFonts w:ascii="Calibri" w:hAnsi="Calibri"/>
        </w:rPr>
      </w:pPr>
      <w:r>
        <w:rPr>
          <w:rFonts w:ascii="Calibri" w:hAnsi="Calibri"/>
          <w:sz w:val="20"/>
        </w:rPr>
        <w:tab/>
      </w: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spacing w:line="240" w:lineRule="atLeast"/>
        <w:jc w:val="both"/>
        <w:rPr>
          <w:rFonts w:ascii="Calibri" w:hAnsi="Calibri"/>
          <w:color w:val="000000"/>
        </w:rPr>
      </w:pPr>
    </w:p>
    <w:p w:rsidR="00295B27" w:rsidRPr="000C6C75" w:rsidRDefault="009F449B" w:rsidP="00C720E2">
      <w:pPr>
        <w:autoSpaceDE w:val="0"/>
        <w:autoSpaceDN w:val="0"/>
        <w:adjustRightInd w:val="0"/>
        <w:rPr>
          <w:rFonts w:ascii="Calibri" w:hAnsi="Calibri"/>
          <w:b/>
          <w:color w:val="000000"/>
        </w:rPr>
      </w:pPr>
      <w:r w:rsidRPr="00986EA3">
        <w:rPr>
          <w:rFonts w:ascii="Calibri-Bold" w:eastAsiaTheme="minorHAnsi" w:hAnsi="Calibri-Bold" w:cs="Calibri-Bold"/>
          <w:b/>
          <w:bCs/>
          <w:sz w:val="22"/>
          <w:szCs w:val="22"/>
        </w:rPr>
        <w:t>05007.9</w:t>
      </w:r>
      <w:r w:rsidRPr="009F449B">
        <w:rPr>
          <w:rFonts w:ascii="Calibri-Bold" w:eastAsiaTheme="minorHAnsi" w:hAnsi="Calibri-Bold" w:cs="Calibri-Bold"/>
          <w:b/>
          <w:bCs/>
        </w:rPr>
        <w:t xml:space="preserve"> </w:t>
      </w:r>
      <w:r w:rsidR="00C720E2" w:rsidRPr="000C6C75">
        <w:rPr>
          <w:rFonts w:ascii="Calibri" w:eastAsiaTheme="minorHAnsi" w:hAnsi="Calibri" w:cs="Calibri"/>
          <w:b/>
        </w:rPr>
        <w:t xml:space="preserve">The </w:t>
      </w:r>
      <w:r w:rsidR="00986EA3" w:rsidRPr="000C6C75">
        <w:rPr>
          <w:rFonts w:ascii="Calibri" w:eastAsiaTheme="minorHAnsi" w:hAnsi="Calibri" w:cs="Calibri"/>
          <w:b/>
        </w:rPr>
        <w:t xml:space="preserve">program requires study </w:t>
      </w:r>
      <w:r w:rsidR="000C6C75" w:rsidRPr="000C6C75">
        <w:rPr>
          <w:rFonts w:ascii="Calibri" w:eastAsiaTheme="minorHAnsi" w:hAnsi="Calibri" w:cs="Calibri"/>
          <w:b/>
        </w:rPr>
        <w:t>of the</w:t>
      </w:r>
      <w:r w:rsidR="00C720E2" w:rsidRPr="000C6C75">
        <w:rPr>
          <w:rFonts w:ascii="Calibri" w:eastAsiaTheme="minorHAnsi" w:hAnsi="Calibri" w:cs="Calibri"/>
          <w:b/>
        </w:rPr>
        <w:t xml:space="preserve"> means of teaching students with special reading needs with attention paid to appropriate involvement of parents, knowledge of high </w:t>
      </w:r>
      <w:r w:rsidR="000C6C75" w:rsidRPr="000C6C75">
        <w:rPr>
          <w:rFonts w:ascii="Calibri" w:eastAsiaTheme="minorHAnsi" w:hAnsi="Calibri" w:cs="Calibri"/>
          <w:b/>
        </w:rPr>
        <w:t>interest materials</w:t>
      </w:r>
      <w:r w:rsidR="00C720E2" w:rsidRPr="000C6C75">
        <w:rPr>
          <w:rFonts w:ascii="Calibri" w:eastAsiaTheme="minorHAnsi" w:hAnsi="Calibri" w:cs="Calibri"/>
          <w:b/>
        </w:rPr>
        <w:t xml:space="preserve"> and techniques, and attention to the influence of culture, gender, and native language on student response.</w:t>
      </w:r>
    </w:p>
    <w:p w:rsidR="009F449B" w:rsidRDefault="009F449B" w:rsidP="00295B27">
      <w:pPr>
        <w:pStyle w:val="BodyTextIndent"/>
        <w:ind w:left="720" w:hanging="360"/>
        <w:jc w:val="both"/>
        <w:rPr>
          <w:rFonts w:ascii="Calibri" w:hAnsi="Calibri"/>
        </w:rPr>
      </w:pPr>
    </w:p>
    <w:p w:rsidR="00295B27" w:rsidRPr="007557C5"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7557C5">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86EA3">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7557C5">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0C6C75" w:rsidRDefault="000C6C75" w:rsidP="000C6C75">
      <w:pPr>
        <w:spacing w:after="200" w:line="276" w:lineRule="auto"/>
        <w:rPr>
          <w:rFonts w:ascii="Calibri" w:hAnsi="Calibri"/>
        </w:rPr>
      </w:pPr>
      <w:r>
        <w:rPr>
          <w:rFonts w:ascii="Calibri" w:hAnsi="Calibri"/>
        </w:rPr>
        <w:tab/>
      </w:r>
      <w:r w:rsidR="00295B27">
        <w:rPr>
          <w:rFonts w:ascii="Calibri" w:hAnsi="Calibri"/>
        </w:rPr>
        <w:t xml:space="preserve">ii.   </w:t>
      </w:r>
      <w:r w:rsidR="00295B27"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color w:val="000000"/>
        </w:rPr>
      </w:pPr>
    </w:p>
    <w:p w:rsidR="00295B27" w:rsidRPr="000C6C75" w:rsidRDefault="009F449B" w:rsidP="00C720E2">
      <w:pPr>
        <w:autoSpaceDE w:val="0"/>
        <w:autoSpaceDN w:val="0"/>
        <w:adjustRightInd w:val="0"/>
        <w:rPr>
          <w:rFonts w:ascii="Calibri" w:hAnsi="Calibri"/>
          <w:b/>
          <w:color w:val="000000"/>
        </w:rPr>
      </w:pPr>
      <w:r w:rsidRPr="00986EA3">
        <w:rPr>
          <w:rFonts w:ascii="Calibri-Bold" w:eastAsiaTheme="minorHAnsi" w:hAnsi="Calibri-Bold" w:cs="Calibri-Bold"/>
          <w:b/>
          <w:bCs/>
          <w:sz w:val="22"/>
          <w:szCs w:val="22"/>
        </w:rPr>
        <w:t>05007.10</w:t>
      </w:r>
      <w:r w:rsidRPr="009F449B">
        <w:rPr>
          <w:rFonts w:ascii="Calibri-Bold" w:eastAsiaTheme="minorHAnsi" w:hAnsi="Calibri-Bold" w:cs="Calibri-Bold"/>
          <w:b/>
          <w:bCs/>
        </w:rPr>
        <w:t xml:space="preserve"> </w:t>
      </w:r>
      <w:r w:rsidR="00C720E2" w:rsidRPr="000C6C75">
        <w:rPr>
          <w:rFonts w:ascii="Calibri" w:eastAsiaTheme="minorHAnsi" w:hAnsi="Calibri" w:cs="Calibri"/>
          <w:b/>
        </w:rPr>
        <w:t xml:space="preserve">The </w:t>
      </w:r>
      <w:r w:rsidR="00986EA3" w:rsidRPr="000C6C75">
        <w:rPr>
          <w:rFonts w:ascii="Calibri" w:eastAsiaTheme="minorHAnsi" w:hAnsi="Calibri" w:cs="Calibri"/>
          <w:b/>
        </w:rPr>
        <w:t>program requires study of and</w:t>
      </w:r>
      <w:r w:rsidR="00C720E2" w:rsidRPr="000C6C75">
        <w:rPr>
          <w:rFonts w:ascii="Calibri" w:eastAsiaTheme="minorHAnsi" w:hAnsi="Calibri" w:cs="Calibri"/>
          <w:b/>
        </w:rPr>
        <w:t xml:space="preserve"> experiences in interacting with other professionals, parents, and the community about student literacy and its promotion.</w:t>
      </w:r>
    </w:p>
    <w:p w:rsidR="009F449B" w:rsidRDefault="009F449B" w:rsidP="007557C5">
      <w:pPr>
        <w:pStyle w:val="BodyTextIndent"/>
        <w:ind w:left="720" w:hanging="360"/>
        <w:rPr>
          <w:rFonts w:ascii="Calibri" w:hAnsi="Calibri"/>
        </w:rPr>
      </w:pPr>
    </w:p>
    <w:p w:rsidR="00295B27" w:rsidRPr="007557C5" w:rsidRDefault="00295B27" w:rsidP="007557C5">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986EA3">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r>
        <w:rPr>
          <w:rFonts w:ascii="Calibri" w:hAnsi="Calibri"/>
        </w:rPr>
        <w:t xml:space="preserve"> </w:t>
      </w:r>
    </w:p>
    <w:p w:rsidR="00295B27" w:rsidRPr="00BA3FDA" w:rsidRDefault="00295B27" w:rsidP="00295B27">
      <w:pPr>
        <w:ind w:left="720"/>
        <w:jc w:val="both"/>
        <w:rPr>
          <w:rFonts w:ascii="Calibri" w:hAnsi="Calibri"/>
        </w:rPr>
      </w:pPr>
    </w:p>
    <w:p w:rsidR="00295B27" w:rsidRPr="007557C5" w:rsidRDefault="00295B27" w:rsidP="00295B27">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jc w:val="both"/>
        <w:rPr>
          <w:rFonts w:ascii="Calibri" w:hAnsi="Calibri"/>
        </w:rPr>
      </w:pPr>
    </w:p>
    <w:p w:rsidR="009F449B" w:rsidRDefault="009F449B" w:rsidP="00C720E2">
      <w:pPr>
        <w:autoSpaceDE w:val="0"/>
        <w:autoSpaceDN w:val="0"/>
        <w:adjustRightInd w:val="0"/>
        <w:rPr>
          <w:rFonts w:ascii="Calibri" w:hAnsi="Calibri"/>
        </w:rPr>
      </w:pPr>
      <w:r w:rsidRPr="00986EA3">
        <w:rPr>
          <w:rFonts w:ascii="Calibri-Bold" w:eastAsiaTheme="minorHAnsi" w:hAnsi="Calibri-Bold" w:cs="Calibri-Bold"/>
          <w:b/>
          <w:bCs/>
          <w:sz w:val="22"/>
          <w:szCs w:val="22"/>
        </w:rPr>
        <w:t>05007.11</w:t>
      </w:r>
      <w:r w:rsidRPr="009F449B">
        <w:rPr>
          <w:rFonts w:ascii="Calibri-Bold" w:eastAsiaTheme="minorHAnsi" w:hAnsi="Calibri-Bold" w:cs="Calibri-Bold"/>
          <w:b/>
          <w:bCs/>
        </w:rPr>
        <w:t xml:space="preserve"> </w:t>
      </w:r>
      <w:r w:rsidR="00C720E2" w:rsidRPr="000C6C75">
        <w:rPr>
          <w:rFonts w:ascii="Calibri" w:eastAsiaTheme="minorHAnsi" w:hAnsi="Calibri" w:cs="Calibri"/>
          <w:b/>
        </w:rPr>
        <w:t xml:space="preserve">The </w:t>
      </w:r>
      <w:r w:rsidR="00986EA3" w:rsidRPr="000C6C75">
        <w:rPr>
          <w:rFonts w:ascii="Calibri" w:eastAsiaTheme="minorHAnsi" w:hAnsi="Calibri" w:cs="Calibri"/>
          <w:b/>
        </w:rPr>
        <w:t>program requires study of and</w:t>
      </w:r>
      <w:r w:rsidR="00C720E2" w:rsidRPr="000C6C75">
        <w:rPr>
          <w:rFonts w:ascii="Calibri" w:eastAsiaTheme="minorHAnsi" w:hAnsi="Calibri" w:cs="Calibri"/>
          <w:b/>
        </w:rPr>
        <w:t xml:space="preserve"> experiences in experiences in conducting and sharing research. The program must also employ appropriate procedures for reporting the results of student assessment and program evaluation.</w:t>
      </w:r>
    </w:p>
    <w:p w:rsidR="00453CA0" w:rsidRDefault="00453CA0" w:rsidP="009F449B">
      <w:pPr>
        <w:pStyle w:val="BodyTextIndent"/>
        <w:ind w:left="720" w:hanging="360"/>
        <w:rPr>
          <w:rFonts w:ascii="Calibri" w:hAnsi="Calibri"/>
        </w:rPr>
      </w:pPr>
    </w:p>
    <w:p w:rsidR="009F449B" w:rsidRPr="007557C5" w:rsidRDefault="009F449B" w:rsidP="009F449B">
      <w:pPr>
        <w:pStyle w:val="BodyTextIndent"/>
        <w:ind w:left="720" w:hanging="360"/>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szCs w:val="24"/>
        </w:rPr>
        <w:t>Is the sub-standard met, met with weakness, or not met?</w:t>
      </w:r>
    </w:p>
    <w:p w:rsidR="009F449B" w:rsidRPr="00BA3FDA" w:rsidRDefault="009F449B" w:rsidP="009F449B">
      <w:pPr>
        <w:ind w:left="720" w:hanging="360"/>
        <w:jc w:val="both"/>
        <w:rPr>
          <w:rFonts w:ascii="Calibri" w:hAnsi="Calibri"/>
          <w:sz w:val="16"/>
        </w:rPr>
      </w:pPr>
    </w:p>
    <w:p w:rsidR="009F449B" w:rsidRPr="00BA3FDA" w:rsidRDefault="009F449B" w:rsidP="009F449B">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CD4">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9F449B" w:rsidRDefault="009F449B" w:rsidP="009F449B">
      <w:pPr>
        <w:jc w:val="both"/>
        <w:rPr>
          <w:rFonts w:ascii="Calibri" w:hAnsi="Calibri"/>
        </w:rPr>
      </w:pPr>
      <w:r>
        <w:rPr>
          <w:rFonts w:ascii="Calibri" w:hAnsi="Calibri"/>
        </w:rPr>
        <w:t xml:space="preserve"> </w:t>
      </w:r>
    </w:p>
    <w:p w:rsidR="009F449B" w:rsidRPr="00BA3FDA" w:rsidRDefault="009F449B" w:rsidP="009F449B">
      <w:pPr>
        <w:ind w:left="720"/>
        <w:jc w:val="both"/>
        <w:rPr>
          <w:rFonts w:ascii="Calibri" w:hAnsi="Calibri"/>
        </w:rPr>
      </w:pPr>
    </w:p>
    <w:p w:rsidR="009F449B" w:rsidRPr="007557C5" w:rsidRDefault="009F449B" w:rsidP="009F449B">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9F449B" w:rsidRPr="00BA3FDA" w:rsidRDefault="009F449B" w:rsidP="009F449B">
      <w:pPr>
        <w:ind w:left="720" w:hanging="360"/>
        <w:jc w:val="both"/>
        <w:rPr>
          <w:rFonts w:ascii="Calibri" w:hAnsi="Calibri"/>
          <w:sz w:val="16"/>
        </w:rPr>
      </w:pPr>
    </w:p>
    <w:p w:rsidR="009F449B" w:rsidRPr="00BA3FDA" w:rsidRDefault="009F449B" w:rsidP="009F449B">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9F449B" w:rsidRPr="00BA3FDA" w:rsidRDefault="009F449B" w:rsidP="009F449B">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9F449B" w:rsidRPr="00BA3FDA" w:rsidRDefault="009F449B" w:rsidP="009F449B">
      <w:pPr>
        <w:ind w:left="720"/>
        <w:jc w:val="both"/>
        <w:rPr>
          <w:rFonts w:ascii="Calibri" w:hAnsi="Calibri"/>
        </w:rPr>
      </w:pPr>
    </w:p>
    <w:p w:rsidR="009F449B" w:rsidRPr="00C8134A" w:rsidRDefault="009F449B" w:rsidP="009F449B">
      <w:pPr>
        <w:ind w:left="720"/>
        <w:jc w:val="both"/>
        <w:rPr>
          <w:rFonts w:ascii="Calibri" w:hAnsi="Calibri"/>
          <w:b/>
        </w:rPr>
      </w:pPr>
      <w:r>
        <w:rPr>
          <w:rFonts w:ascii="Calibri" w:hAnsi="Calibri"/>
        </w:rPr>
        <w:t xml:space="preserve">ii.   </w:t>
      </w:r>
      <w:r w:rsidRPr="00C8134A">
        <w:rPr>
          <w:rFonts w:ascii="Calibri" w:hAnsi="Calibri"/>
          <w:b/>
        </w:rPr>
        <w:t>Rationale:</w:t>
      </w:r>
    </w:p>
    <w:p w:rsidR="009F449B" w:rsidRPr="00BA3FDA" w:rsidRDefault="009F449B" w:rsidP="009F449B">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9F449B" w:rsidRPr="002319B3" w:rsidRDefault="009F449B" w:rsidP="009F449B">
      <w:pPr>
        <w:jc w:val="both"/>
        <w:rPr>
          <w:rFonts w:ascii="Calibri" w:hAnsi="Calibri"/>
        </w:rPr>
      </w:pPr>
    </w:p>
    <w:p w:rsidR="000C6C75" w:rsidRDefault="000C6C75" w:rsidP="009F449B">
      <w:pPr>
        <w:pStyle w:val="BodyTextIndent"/>
        <w:ind w:left="0" w:firstLine="0"/>
        <w:rPr>
          <w:rFonts w:ascii="Calibri-Bold" w:eastAsiaTheme="minorHAnsi" w:hAnsi="Calibri-Bold" w:cs="Calibri-Bold"/>
          <w:b/>
          <w:bCs/>
          <w:sz w:val="22"/>
          <w:szCs w:val="22"/>
        </w:rPr>
      </w:pPr>
    </w:p>
    <w:p w:rsidR="009F449B" w:rsidRPr="009F449B" w:rsidRDefault="009F449B" w:rsidP="009F449B">
      <w:pPr>
        <w:pStyle w:val="BodyTextIndent"/>
        <w:ind w:left="0" w:firstLine="0"/>
        <w:rPr>
          <w:rFonts w:ascii="Calibri" w:hAnsi="Calibri"/>
          <w:szCs w:val="24"/>
        </w:rPr>
      </w:pPr>
      <w:r w:rsidRPr="007D3CD4">
        <w:rPr>
          <w:rFonts w:ascii="Calibri-Bold" w:eastAsiaTheme="minorHAnsi" w:hAnsi="Calibri-Bold" w:cs="Calibri-Bold"/>
          <w:b/>
          <w:bCs/>
          <w:sz w:val="22"/>
          <w:szCs w:val="22"/>
        </w:rPr>
        <w:t>05007.12</w:t>
      </w:r>
      <w:r w:rsidRPr="009F449B">
        <w:rPr>
          <w:rFonts w:ascii="Calibri-Bold" w:eastAsiaTheme="minorHAnsi" w:hAnsi="Calibri-Bold" w:cs="Calibri-Bold"/>
          <w:b/>
          <w:bCs/>
          <w:szCs w:val="24"/>
        </w:rPr>
        <w:t xml:space="preserve"> </w:t>
      </w:r>
      <w:r w:rsidR="00C720E2" w:rsidRPr="000C6C75">
        <w:rPr>
          <w:rFonts w:ascii="Calibri" w:eastAsiaTheme="minorHAnsi" w:hAnsi="Calibri" w:cs="Calibri"/>
          <w:b/>
          <w:szCs w:val="24"/>
        </w:rPr>
        <w:t xml:space="preserve">The </w:t>
      </w:r>
      <w:r w:rsidR="007D3CD4" w:rsidRPr="000C6C75">
        <w:rPr>
          <w:rFonts w:ascii="Calibri" w:eastAsiaTheme="minorHAnsi" w:hAnsi="Calibri" w:cs="Calibri"/>
          <w:b/>
          <w:szCs w:val="24"/>
        </w:rPr>
        <w:t>program requires study of</w:t>
      </w:r>
      <w:r w:rsidR="00C720E2" w:rsidRPr="000C6C75">
        <w:rPr>
          <w:rFonts w:ascii="Calibri" w:eastAsiaTheme="minorHAnsi" w:hAnsi="Calibri" w:cs="Calibri"/>
          <w:b/>
          <w:szCs w:val="24"/>
        </w:rPr>
        <w:t xml:space="preserve"> current, appropriate instructional technologies.</w:t>
      </w:r>
    </w:p>
    <w:p w:rsidR="009F449B" w:rsidRPr="009F449B" w:rsidRDefault="009F449B" w:rsidP="009F449B">
      <w:pPr>
        <w:pStyle w:val="BodyTextIndent"/>
        <w:ind w:left="720" w:hanging="360"/>
        <w:rPr>
          <w:rFonts w:ascii="Calibri" w:hAnsi="Calibri"/>
          <w:szCs w:val="24"/>
        </w:rPr>
      </w:pPr>
      <w:bookmarkStart w:id="2" w:name="_GoBack"/>
    </w:p>
    <w:bookmarkEnd w:id="2"/>
    <w:p w:rsidR="009F449B" w:rsidRPr="000C6C75" w:rsidRDefault="009F449B" w:rsidP="000C6C75">
      <w:pPr>
        <w:spacing w:after="200" w:line="276" w:lineRule="auto"/>
        <w:rPr>
          <w:rFonts w:ascii="Calibri" w:hAnsi="Calibri"/>
          <w:szCs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7557C5">
        <w:rPr>
          <w:rFonts w:ascii="Calibri" w:hAnsi="Calibri"/>
        </w:rPr>
        <w:t>Is the sub-standard met, met with weakness, or not met?</w:t>
      </w:r>
    </w:p>
    <w:p w:rsidR="009F449B" w:rsidRPr="00BA3FDA" w:rsidRDefault="009F449B" w:rsidP="009F449B">
      <w:pPr>
        <w:ind w:left="720" w:hanging="360"/>
        <w:jc w:val="both"/>
        <w:rPr>
          <w:rFonts w:ascii="Calibri" w:hAnsi="Calibri"/>
          <w:sz w:val="16"/>
        </w:rPr>
      </w:pPr>
    </w:p>
    <w:p w:rsidR="009F449B" w:rsidRPr="00BA3FDA" w:rsidRDefault="009F449B" w:rsidP="009F449B">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7D3CD4">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9F449B" w:rsidRDefault="009F449B" w:rsidP="009F449B">
      <w:pPr>
        <w:jc w:val="both"/>
        <w:rPr>
          <w:rFonts w:ascii="Calibri" w:hAnsi="Calibri"/>
        </w:rPr>
      </w:pPr>
      <w:r>
        <w:rPr>
          <w:rFonts w:ascii="Calibri" w:hAnsi="Calibri"/>
        </w:rPr>
        <w:t xml:space="preserve"> </w:t>
      </w:r>
    </w:p>
    <w:p w:rsidR="009F449B" w:rsidRPr="00BA3FDA" w:rsidRDefault="009F449B" w:rsidP="009F449B">
      <w:pPr>
        <w:ind w:left="720"/>
        <w:jc w:val="both"/>
        <w:rPr>
          <w:rFonts w:ascii="Calibri" w:hAnsi="Calibri"/>
        </w:rPr>
      </w:pPr>
    </w:p>
    <w:p w:rsidR="009F449B" w:rsidRPr="007557C5" w:rsidRDefault="009F449B" w:rsidP="009F449B">
      <w:pPr>
        <w:ind w:left="720" w:hanging="360"/>
        <w:jc w:val="both"/>
        <w:rPr>
          <w:rFonts w:ascii="Calibri" w:hAnsi="Calibri"/>
          <w:b/>
        </w:rPr>
      </w:pPr>
      <w:r>
        <w:rPr>
          <w:rFonts w:ascii="Calibri" w:hAnsi="Calibri"/>
        </w:rPr>
        <w:t>B</w:t>
      </w:r>
      <w:r w:rsidRPr="00BA3FDA">
        <w:rPr>
          <w:rFonts w:ascii="Calibri" w:hAnsi="Calibri"/>
        </w:rPr>
        <w:t>.</w:t>
      </w:r>
      <w:r w:rsidRPr="00BA3FDA">
        <w:rPr>
          <w:rFonts w:ascii="Calibri" w:hAnsi="Calibri"/>
        </w:rPr>
        <w:tab/>
      </w:r>
      <w:r>
        <w:rPr>
          <w:rFonts w:ascii="Calibri" w:hAnsi="Calibri"/>
        </w:rPr>
        <w:t xml:space="preserve"> </w:t>
      </w:r>
      <w:r w:rsidRPr="00C8134A">
        <w:rPr>
          <w:rFonts w:ascii="Calibri" w:hAnsi="Calibri"/>
          <w:b/>
        </w:rPr>
        <w:t>For Decisions of “Met with Weakness” or “Not Met</w:t>
      </w:r>
      <w:r w:rsidRPr="007557C5">
        <w:rPr>
          <w:rFonts w:ascii="Calibri" w:hAnsi="Calibri"/>
          <w:b/>
        </w:rPr>
        <w:t>”:</w:t>
      </w:r>
      <w:r w:rsidRPr="007557C5">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9F449B" w:rsidRPr="00BA3FDA" w:rsidRDefault="009F449B" w:rsidP="009F449B">
      <w:pPr>
        <w:ind w:left="720" w:hanging="360"/>
        <w:jc w:val="both"/>
        <w:rPr>
          <w:rFonts w:ascii="Calibri" w:hAnsi="Calibri"/>
          <w:sz w:val="16"/>
        </w:rPr>
      </w:pPr>
    </w:p>
    <w:p w:rsidR="009F449B" w:rsidRPr="00BA3FDA" w:rsidRDefault="009F449B" w:rsidP="009F449B">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9F449B" w:rsidRPr="00BA3FDA" w:rsidRDefault="009F449B" w:rsidP="009F449B">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9F449B" w:rsidRPr="00BA3FDA" w:rsidRDefault="009F449B" w:rsidP="009F449B">
      <w:pPr>
        <w:ind w:left="720"/>
        <w:jc w:val="both"/>
        <w:rPr>
          <w:rFonts w:ascii="Calibri" w:hAnsi="Calibri"/>
        </w:rPr>
      </w:pPr>
    </w:p>
    <w:p w:rsidR="009F449B" w:rsidRPr="00C8134A" w:rsidRDefault="009F449B" w:rsidP="009F449B">
      <w:pPr>
        <w:ind w:left="720"/>
        <w:jc w:val="both"/>
        <w:rPr>
          <w:rFonts w:ascii="Calibri" w:hAnsi="Calibri"/>
          <w:b/>
        </w:rPr>
      </w:pPr>
      <w:r>
        <w:rPr>
          <w:rFonts w:ascii="Calibri" w:hAnsi="Calibri"/>
        </w:rPr>
        <w:t xml:space="preserve">ii.   </w:t>
      </w:r>
      <w:r w:rsidRPr="00C8134A">
        <w:rPr>
          <w:rFonts w:ascii="Calibri" w:hAnsi="Calibri"/>
          <w:b/>
        </w:rPr>
        <w:t>Rationale:</w:t>
      </w:r>
    </w:p>
    <w:p w:rsidR="009F449B" w:rsidRPr="00BA3FDA" w:rsidRDefault="009F449B" w:rsidP="009F449B">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9F449B" w:rsidRPr="002319B3" w:rsidRDefault="009F449B" w:rsidP="009F449B">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CB2D5A">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Content Expert Review of Standard and recommendation to Sta</w:t>
      </w:r>
      <w:r w:rsidR="00CB2D5A">
        <w:rPr>
          <w:rFonts w:ascii="Calibri" w:hAnsi="Calibri"/>
          <w:b/>
        </w:rPr>
        <w:t>te Board of Examiner (BOE) Team:</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140B4B">
        <w:rPr>
          <w:rFonts w:ascii="Calibri" w:hAnsi="Calibri"/>
        </w:rPr>
        <w:t>the Education Standards and Practices Board Executive Director at (701) 328-9646.</w:t>
      </w:r>
    </w:p>
    <w:p w:rsidR="00140B4B" w:rsidRPr="00BA3FDA" w:rsidRDefault="00140B4B" w:rsidP="00295B27">
      <w:pPr>
        <w:jc w:val="both"/>
        <w:rPr>
          <w:rFonts w:ascii="Calibri" w:hAnsi="Calibri"/>
        </w:rPr>
      </w:pPr>
    </w:p>
    <w:p w:rsidR="00DF0420" w:rsidRPr="00175E55" w:rsidRDefault="00140B4B" w:rsidP="00175E55">
      <w:pPr>
        <w:shd w:val="clear" w:color="auto" w:fill="FFFFFF"/>
        <w:jc w:val="both"/>
        <w:rPr>
          <w:rFonts w:ascii="Calibri" w:hAnsi="Calibri"/>
          <w:b/>
        </w:rPr>
      </w:pPr>
      <w:r>
        <w:rPr>
          <w:rFonts w:ascii="Calibri" w:hAnsi="Calibri"/>
          <w:b/>
        </w:rPr>
        <w:t>Thank you for ta</w:t>
      </w:r>
      <w:r w:rsidR="00295B27" w:rsidRPr="00BA3FDA">
        <w:rPr>
          <w:rFonts w:ascii="Calibri" w:hAnsi="Calibri"/>
          <w:b/>
        </w:rPr>
        <w:t>king the time from your busy schedule to help document</w:t>
      </w:r>
      <w:r w:rsidR="006F48E4">
        <w:rPr>
          <w:rFonts w:ascii="Calibri" w:hAnsi="Calibri"/>
          <w:b/>
        </w:rPr>
        <w:t xml:space="preserve"> that</w:t>
      </w:r>
      <w:r w:rsidR="00295B27"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986EA3">
      <w:footerReference w:type="even" r:id="rId9"/>
      <w:footerReference w:type="default" r:id="rId10"/>
      <w:pgSz w:w="12240" w:h="15840" w:code="1"/>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77" w:rsidRDefault="00BB0877">
      <w:r>
        <w:separator/>
      </w:r>
    </w:p>
  </w:endnote>
  <w:endnote w:type="continuationSeparator" w:id="0">
    <w:p w:rsidR="00BB0877" w:rsidRDefault="00BB0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0C6C75"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6C75">
      <w:rPr>
        <w:rStyle w:val="PageNumber"/>
        <w:noProof/>
      </w:rPr>
      <w:t>7</w:t>
    </w:r>
    <w:r>
      <w:rPr>
        <w:rStyle w:val="PageNumber"/>
      </w:rPr>
      <w:fldChar w:fldCharType="end"/>
    </w:r>
  </w:p>
  <w:p w:rsidR="00F2007E" w:rsidRDefault="000C6C75"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77" w:rsidRDefault="00BB0877">
      <w:r>
        <w:separator/>
      </w:r>
    </w:p>
  </w:footnote>
  <w:footnote w:type="continuationSeparator" w:id="0">
    <w:p w:rsidR="00BB0877" w:rsidRDefault="00BB0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C6C75"/>
    <w:rsid w:val="00140B4B"/>
    <w:rsid w:val="00175E55"/>
    <w:rsid w:val="00193D52"/>
    <w:rsid w:val="00295B27"/>
    <w:rsid w:val="002C0482"/>
    <w:rsid w:val="00302203"/>
    <w:rsid w:val="003060DD"/>
    <w:rsid w:val="004101B1"/>
    <w:rsid w:val="00453CA0"/>
    <w:rsid w:val="0045797D"/>
    <w:rsid w:val="004B2B22"/>
    <w:rsid w:val="004D0994"/>
    <w:rsid w:val="00501237"/>
    <w:rsid w:val="006F48E4"/>
    <w:rsid w:val="007557C5"/>
    <w:rsid w:val="007D3CD4"/>
    <w:rsid w:val="009076AE"/>
    <w:rsid w:val="00986EA3"/>
    <w:rsid w:val="009F449B"/>
    <w:rsid w:val="00A24F1A"/>
    <w:rsid w:val="00B2717C"/>
    <w:rsid w:val="00BB0877"/>
    <w:rsid w:val="00C22C08"/>
    <w:rsid w:val="00C720E2"/>
    <w:rsid w:val="00CB2D5A"/>
    <w:rsid w:val="00CF65CD"/>
    <w:rsid w:val="00D75953"/>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12</cp:revision>
  <cp:lastPrinted>2017-05-08T16:01:00Z</cp:lastPrinted>
  <dcterms:created xsi:type="dcterms:W3CDTF">2017-05-08T16:05:00Z</dcterms:created>
  <dcterms:modified xsi:type="dcterms:W3CDTF">2017-07-09T16:56:00Z</dcterms:modified>
</cp:coreProperties>
</file>