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1739B6" w:rsidP="001739B6">
      <w:pPr>
        <w:tabs>
          <w:tab w:val="left" w:pos="528"/>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3427D4E1" wp14:editId="771E8311">
            <wp:simplePos x="0" y="0"/>
            <wp:positionH relativeFrom="column">
              <wp:posOffset>68580</wp:posOffset>
            </wp:positionH>
            <wp:positionV relativeFrom="paragraph">
              <wp:posOffset>-281940</wp:posOffset>
            </wp:positionV>
            <wp:extent cx="967740" cy="803454"/>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740" cy="803454"/>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8C6FB6" w:rsidP="00295B27">
      <w:pPr>
        <w:jc w:val="center"/>
        <w:rPr>
          <w:rFonts w:ascii="Calibri" w:hAnsi="Calibri"/>
          <w:b/>
          <w:sz w:val="28"/>
          <w:szCs w:val="28"/>
        </w:rPr>
      </w:pPr>
      <w:r>
        <w:rPr>
          <w:rFonts w:ascii="Calibri" w:hAnsi="Calibri"/>
          <w:b/>
          <w:sz w:val="28"/>
          <w:szCs w:val="28"/>
        </w:rPr>
        <w:t>Ed Leadership</w:t>
      </w:r>
      <w:r w:rsidR="00CF65CD">
        <w:rPr>
          <w:rFonts w:ascii="Calibri" w:hAnsi="Calibri"/>
          <w:b/>
          <w:sz w:val="28"/>
          <w:szCs w:val="28"/>
        </w:rPr>
        <w:t xml:space="preserve"> (Advanced)</w:t>
      </w:r>
      <w:r w:rsidR="00295B27">
        <w:rPr>
          <w:rFonts w:ascii="Calibri" w:hAnsi="Calibri"/>
          <w:b/>
          <w:sz w:val="28"/>
          <w:szCs w:val="28"/>
        </w:rPr>
        <w:t xml:space="preserve"> Education</w:t>
      </w:r>
    </w:p>
    <w:p w:rsidR="001739B6" w:rsidRPr="00BA3FDA" w:rsidRDefault="001739B6" w:rsidP="00295B27">
      <w:pPr>
        <w:jc w:val="center"/>
        <w:rPr>
          <w:rFonts w:ascii="Calibri" w:hAnsi="Calibri"/>
          <w:b/>
          <w:sz w:val="28"/>
          <w:szCs w:val="28"/>
        </w:rPr>
      </w:pPr>
      <w:r>
        <w:rPr>
          <w:rFonts w:ascii="Calibri" w:hAnsi="Calibri"/>
          <w:b/>
          <w:sz w:val="28"/>
          <w:szCs w:val="28"/>
        </w:rPr>
        <w:t>(05-17)</w:t>
      </w:r>
    </w:p>
    <w:p w:rsidR="00295B27" w:rsidRPr="002529B0" w:rsidRDefault="00295B27" w:rsidP="001739B6">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C607DD">
        <w:rPr>
          <w:rFonts w:ascii="Calibri" w:hAnsi="Calibri"/>
          <w:b/>
        </w:rPr>
      </w:r>
      <w:r w:rsidR="00C607DD">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C607DD">
        <w:rPr>
          <w:rFonts w:ascii="Calibri" w:hAnsi="Calibri"/>
          <w:b/>
        </w:rPr>
      </w:r>
      <w:r w:rsidR="00C607DD">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C607DD">
        <w:rPr>
          <w:rFonts w:ascii="Calibri" w:hAnsi="Calibri"/>
          <w:b/>
        </w:rPr>
      </w:r>
      <w:r w:rsidR="00C607DD">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0F0F7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0F0F7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C607DD">
        <w:rPr>
          <w:rFonts w:ascii="Calibri" w:hAnsi="Calibri"/>
          <w:b/>
        </w:rPr>
      </w:r>
      <w:r w:rsidR="00C607DD">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C607DD">
        <w:rPr>
          <w:rFonts w:ascii="Calibri" w:hAnsi="Calibri"/>
          <w:b/>
        </w:rPr>
      </w:r>
      <w:r w:rsidR="00C607DD">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0F0F7F">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DD7495" w:rsidRPr="009F449B" w:rsidRDefault="00DD7495" w:rsidP="00DD7495">
            <w:pPr>
              <w:widowControl w:val="0"/>
              <w:tabs>
                <w:tab w:val="left" w:pos="1440"/>
              </w:tabs>
              <w:autoSpaceDE w:val="0"/>
              <w:autoSpaceDN w:val="0"/>
              <w:adjustRightInd w:val="0"/>
              <w:jc w:val="center"/>
              <w:rPr>
                <w:rFonts w:ascii="Calibri" w:hAnsi="Calibri"/>
                <w:b/>
              </w:rPr>
            </w:pPr>
            <w:r>
              <w:rPr>
                <w:rFonts w:ascii="Calibri" w:hAnsi="Calibri"/>
                <w:b/>
              </w:rPr>
              <w:t>50045.1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DD7495" w:rsidRPr="009F449B" w:rsidRDefault="00DD7495" w:rsidP="00DD7495">
            <w:pPr>
              <w:widowControl w:val="0"/>
              <w:tabs>
                <w:tab w:val="left" w:pos="1440"/>
              </w:tabs>
              <w:autoSpaceDE w:val="0"/>
              <w:autoSpaceDN w:val="0"/>
              <w:adjustRightInd w:val="0"/>
              <w:jc w:val="center"/>
              <w:rPr>
                <w:rFonts w:ascii="Calibri" w:hAnsi="Calibri"/>
                <w:b/>
              </w:rPr>
            </w:pPr>
            <w:r>
              <w:rPr>
                <w:rFonts w:ascii="Calibri" w:hAnsi="Calibri"/>
                <w:b/>
              </w:rPr>
              <w:t>50045.6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D7495" w:rsidP="00C42F37">
            <w:pPr>
              <w:widowControl w:val="0"/>
              <w:tabs>
                <w:tab w:val="left" w:pos="1440"/>
              </w:tabs>
              <w:autoSpaceDE w:val="0"/>
              <w:autoSpaceDN w:val="0"/>
              <w:adjustRightInd w:val="0"/>
              <w:jc w:val="center"/>
              <w:rPr>
                <w:rFonts w:ascii="Calibri" w:hAnsi="Calibri"/>
                <w:b/>
              </w:rPr>
            </w:pPr>
            <w:r>
              <w:rPr>
                <w:rFonts w:ascii="Calibri" w:hAnsi="Calibri"/>
                <w:b/>
              </w:rPr>
              <w:t>50045.10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9F449B" w:rsidTr="00C42F37">
        <w:tc>
          <w:tcPr>
            <w:tcW w:w="2394" w:type="dxa"/>
          </w:tcPr>
          <w:p w:rsidR="009F449B" w:rsidRPr="009F449B" w:rsidRDefault="00DD7495" w:rsidP="009F449B">
            <w:pPr>
              <w:widowControl w:val="0"/>
              <w:tabs>
                <w:tab w:val="left" w:pos="1440"/>
              </w:tabs>
              <w:autoSpaceDE w:val="0"/>
              <w:autoSpaceDN w:val="0"/>
              <w:adjustRightInd w:val="0"/>
              <w:jc w:val="center"/>
              <w:rPr>
                <w:rFonts w:ascii="Calibri" w:hAnsi="Calibri"/>
                <w:b/>
              </w:rPr>
            </w:pPr>
            <w:r>
              <w:rPr>
                <w:rFonts w:ascii="Calibri" w:hAnsi="Calibri"/>
                <w:b/>
              </w:rPr>
              <w:t>50045.11</w:t>
            </w: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EF5C9F"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Ed Leadership</w:t>
      </w:r>
      <w:r w:rsidR="009F449B">
        <w:rPr>
          <w:rFonts w:ascii="Calibri" w:hAnsi="Calibri"/>
          <w:b/>
          <w:sz w:val="28"/>
          <w:szCs w:val="28"/>
        </w:rPr>
        <w:t xml:space="preserve"> (Advanced)</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 xml:space="preserve">program </w:t>
      </w:r>
      <w:r w:rsidRPr="002319B3">
        <w:rPr>
          <w:rFonts w:ascii="Calibri" w:hAnsi="Calibri"/>
        </w:rPr>
        <w:t>standard as to whether it has been met, met wit</w:t>
      </w:r>
      <w:r>
        <w:rPr>
          <w:rFonts w:ascii="Calibri" w:hAnsi="Calibri"/>
        </w:rPr>
        <w:t>h weakness, or not met based on the evidence provided.</w:t>
      </w:r>
    </w:p>
    <w:p w:rsidR="00295B27" w:rsidRDefault="00295B27" w:rsidP="00295B27">
      <w:pPr>
        <w:numPr>
          <w:ilvl w:val="0"/>
          <w:numId w:val="44"/>
        </w:numPr>
        <w:spacing w:line="240" w:lineRule="atLeast"/>
        <w:jc w:val="both"/>
        <w:rPr>
          <w:rFonts w:ascii="Calibri" w:hAnsi="Calibri"/>
        </w:rPr>
      </w:pPr>
      <w:r>
        <w:rPr>
          <w:rFonts w:ascii="Calibri" w:hAnsi="Calibri"/>
        </w:rPr>
        <w:t xml:space="preserve">For any standard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t>
      </w:r>
      <w:proofErr w:type="gramStart"/>
      <w:r w:rsidRPr="006A6FFD">
        <w:rPr>
          <w:rFonts w:ascii="Calibri" w:hAnsi="Calibri"/>
        </w:rPr>
        <w:t>weakness</w:t>
      </w:r>
      <w:r w:rsidR="00FF03A6">
        <w:rPr>
          <w:rFonts w:ascii="Calibri" w:hAnsi="Calibri"/>
        </w:rPr>
        <w:t>(</w:t>
      </w:r>
      <w:proofErr w:type="spellStart"/>
      <w:proofErr w:type="gramEnd"/>
      <w:r w:rsidR="00FF03A6">
        <w:rPr>
          <w:rFonts w:ascii="Calibri" w:hAnsi="Calibri"/>
        </w:rPr>
        <w:t>es</w:t>
      </w:r>
      <w:proofErr w:type="spellEnd"/>
      <w:r w:rsidR="00FF03A6">
        <w:rPr>
          <w:rFonts w:ascii="Calibri" w:hAnsi="Calibri"/>
        </w:rPr>
        <w:t>)</w:t>
      </w:r>
      <w:r>
        <w:rPr>
          <w:rFonts w:ascii="Calibri" w:hAnsi="Calibri"/>
        </w:rPr>
        <w:t xml:space="preserve"> </w:t>
      </w:r>
      <w:r w:rsidRPr="006A6FFD">
        <w:rPr>
          <w:rFonts w:ascii="Calibri" w:hAnsi="Calibri"/>
        </w:rPr>
        <w:t xml:space="preserve">and provide a </w:t>
      </w:r>
      <w:r>
        <w:rPr>
          <w:rFonts w:ascii="Calibri" w:hAnsi="Calibri"/>
        </w:rPr>
        <w:t>rationale.</w:t>
      </w:r>
    </w:p>
    <w:p w:rsidR="00FF03A6" w:rsidRPr="00FF03A6" w:rsidRDefault="00FF03A6" w:rsidP="00501237">
      <w:pPr>
        <w:spacing w:line="240" w:lineRule="atLeast"/>
        <w:ind w:left="720"/>
        <w:jc w:val="both"/>
        <w:rPr>
          <w:rFonts w:ascii="Calibri" w:hAnsi="Calibri"/>
        </w:rPr>
      </w:pP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9F449B" w:rsidRDefault="00FB65C2" w:rsidP="00C720E2">
      <w:pPr>
        <w:autoSpaceDE w:val="0"/>
        <w:autoSpaceDN w:val="0"/>
        <w:adjustRightInd w:val="0"/>
        <w:rPr>
          <w:rFonts w:ascii="Calibri" w:eastAsiaTheme="minorHAnsi" w:hAnsi="Calibri" w:cs="Calibri"/>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.1 </w:t>
      </w:r>
      <w:r w:rsidR="00DD7495" w:rsidRPr="00DD7495">
        <w:rPr>
          <w:rFonts w:asciiTheme="minorHAnsi" w:hAnsiTheme="minorHAnsi"/>
          <w:color w:val="000000" w:themeColor="text1"/>
        </w:rPr>
        <w:t>Professional and Ethical Leadership. The program requires the study of educational leadership foundations, current issues affecting education, decision making, problem solving, motivational theory, and professional ethics.</w:t>
      </w:r>
    </w:p>
    <w:p w:rsidR="009F449B" w:rsidRDefault="009F44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DD7495" w:rsidRDefault="00FB65C2" w:rsidP="00C720E2">
      <w:pPr>
        <w:autoSpaceDE w:val="0"/>
        <w:autoSpaceDN w:val="0"/>
        <w:adjustRightInd w:val="0"/>
        <w:rPr>
          <w:rFonts w:asciiTheme="minorHAnsi" w:hAnsiTheme="minorHAnsi"/>
          <w:color w:val="000000"/>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.2 </w:t>
      </w:r>
      <w:r w:rsidR="00DD7495" w:rsidRPr="00DD7495">
        <w:rPr>
          <w:rFonts w:asciiTheme="minorHAnsi" w:hAnsiTheme="minorHAnsi"/>
          <w:color w:val="000000" w:themeColor="text1"/>
        </w:rPr>
        <w:t>Information Management and Evaluation The program requires the study of research and data</w:t>
      </w:r>
      <w:r w:rsidR="00DD7495" w:rsidRPr="00DD7495">
        <w:rPr>
          <w:rFonts w:asciiTheme="minorHAnsi" w:hAnsiTheme="minorHAnsi" w:cs="Cambria Math"/>
          <w:color w:val="000000" w:themeColor="text1"/>
        </w:rPr>
        <w:t>‐</w:t>
      </w:r>
      <w:r w:rsidR="00DD7495" w:rsidRPr="00DD7495">
        <w:rPr>
          <w:rFonts w:asciiTheme="minorHAnsi" w:hAnsiTheme="minorHAnsi"/>
          <w:color w:val="000000" w:themeColor="text1"/>
        </w:rPr>
        <w:t>based program evaluation, management and use of information systems, planning, and education improvement processes</w:t>
      </w:r>
    </w:p>
    <w:p w:rsidR="009F449B" w:rsidRPr="009F449B" w:rsidRDefault="009F449B"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lastRenderedPageBreak/>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DD7495" w:rsidRDefault="00FB65C2" w:rsidP="00C720E2">
      <w:pPr>
        <w:autoSpaceDE w:val="0"/>
        <w:autoSpaceDN w:val="0"/>
        <w:adjustRightInd w:val="0"/>
        <w:rPr>
          <w:rFonts w:asciiTheme="minorHAnsi" w:hAnsiTheme="minorHAnsi"/>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.3 </w:t>
      </w:r>
      <w:r w:rsidR="00DD7495" w:rsidRPr="00DD7495">
        <w:rPr>
          <w:rFonts w:asciiTheme="minorHAnsi" w:hAnsiTheme="minorHAnsi"/>
          <w:color w:val="000000" w:themeColor="text1"/>
        </w:rPr>
        <w:t xml:space="preserve">Curriculum, Instruction, Supervision, and the Learning Environment. The program requires the study of curriculum, instruction, supervision, evaluation, psychology of learning, school cultures, and multiple </w:t>
      </w:r>
      <w:proofErr w:type="gramStart"/>
      <w:r w:rsidR="00DD7495" w:rsidRPr="00DD7495">
        <w:rPr>
          <w:rFonts w:asciiTheme="minorHAnsi" w:hAnsiTheme="minorHAnsi"/>
          <w:color w:val="000000" w:themeColor="text1"/>
        </w:rPr>
        <w:t>assessment</w:t>
      </w:r>
      <w:proofErr w:type="gramEnd"/>
      <w:r w:rsidR="00F55777">
        <w:rPr>
          <w:rFonts w:asciiTheme="minorHAnsi" w:hAnsiTheme="minorHAnsi"/>
          <w:color w:val="000000" w:themeColor="text1"/>
        </w:rPr>
        <w:t>.</w:t>
      </w:r>
    </w:p>
    <w:p w:rsidR="009F449B" w:rsidRDefault="009F44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DD7495" w:rsidRDefault="00FB65C2" w:rsidP="00C720E2">
      <w:pPr>
        <w:autoSpaceDE w:val="0"/>
        <w:autoSpaceDN w:val="0"/>
        <w:adjustRightInd w:val="0"/>
        <w:rPr>
          <w:rFonts w:asciiTheme="minorHAnsi" w:hAnsiTheme="minorHAnsi"/>
          <w:color w:val="000000"/>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4 </w:t>
      </w:r>
      <w:r w:rsidR="00DD7495" w:rsidRPr="00DD7495">
        <w:rPr>
          <w:rFonts w:asciiTheme="minorHAnsi" w:hAnsiTheme="minorHAnsi"/>
          <w:color w:val="000000" w:themeColor="text1"/>
        </w:rPr>
        <w:t>Professional Development and Human Resources. The program requires the study of personnel policies, adult learning, and procedures related to recruitment, development, evaluation, and separation from employment of school personnel.</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DD7495" w:rsidRDefault="00F55777" w:rsidP="00C720E2">
      <w:pPr>
        <w:autoSpaceDE w:val="0"/>
        <w:autoSpaceDN w:val="0"/>
        <w:adjustRightInd w:val="0"/>
        <w:rPr>
          <w:rFonts w:asciiTheme="minorHAnsi" w:hAnsiTheme="minorHAnsi"/>
          <w:color w:val="000000"/>
        </w:rPr>
      </w:pPr>
      <w:r>
        <w:rPr>
          <w:rFonts w:ascii="Calibri-Bold" w:eastAsiaTheme="minorHAnsi" w:hAnsi="Calibri-Bold" w:cs="Calibri-Bold"/>
          <w:b/>
          <w:bCs/>
        </w:rPr>
        <w:t>50045.5</w:t>
      </w:r>
      <w:r w:rsidRPr="00DD7495">
        <w:rPr>
          <w:rFonts w:asciiTheme="minorHAnsi" w:eastAsiaTheme="minorHAnsi" w:hAnsiTheme="minorHAnsi" w:cs="Calibri-Bold"/>
          <w:b/>
          <w:bCs/>
        </w:rPr>
        <w:t xml:space="preserve"> </w:t>
      </w:r>
      <w:r w:rsidRPr="00DD7495">
        <w:rPr>
          <w:rFonts w:asciiTheme="minorHAnsi" w:hAnsiTheme="minorHAnsi"/>
          <w:color w:val="000000" w:themeColor="text1"/>
        </w:rPr>
        <w:t>Student</w:t>
      </w:r>
      <w:r w:rsidR="00DD7495" w:rsidRPr="00DD7495">
        <w:rPr>
          <w:rFonts w:asciiTheme="minorHAnsi" w:hAnsiTheme="minorHAnsi"/>
          <w:color w:val="000000" w:themeColor="text1"/>
        </w:rPr>
        <w:t xml:space="preserve"> Personnel Services. The program requires the study of the administration of student programs, services, and activities.</w:t>
      </w:r>
    </w:p>
    <w:p w:rsidR="009F449B" w:rsidRDefault="009F449B" w:rsidP="00295B27">
      <w:pPr>
        <w:pStyle w:val="BodyTextIndent"/>
        <w:ind w:left="720" w:hanging="360"/>
        <w:jc w:val="both"/>
        <w:rPr>
          <w:rFonts w:ascii="Calibri" w:hAnsi="Calibri"/>
        </w:rPr>
      </w:pPr>
    </w:p>
    <w:p w:rsidR="009F449B" w:rsidRDefault="009F449B">
      <w:pPr>
        <w:spacing w:after="200" w:line="276" w:lineRule="auto"/>
        <w:rPr>
          <w:rFonts w:ascii="Calibri" w:hAnsi="Calibri"/>
          <w:szCs w:val="20"/>
        </w:rPr>
      </w:pPr>
      <w:r>
        <w:rPr>
          <w:rFonts w:ascii="Calibri" w:hAnsi="Calibri"/>
        </w:rPr>
        <w:br w:type="page"/>
      </w: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DD7495" w:rsidRDefault="00FB65C2" w:rsidP="00C720E2">
      <w:pPr>
        <w:autoSpaceDE w:val="0"/>
        <w:autoSpaceDN w:val="0"/>
        <w:adjustRightInd w:val="0"/>
        <w:rPr>
          <w:rFonts w:asciiTheme="minorHAnsi" w:hAnsiTheme="minorHAnsi"/>
          <w:color w:val="000000"/>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.6 </w:t>
      </w:r>
      <w:r w:rsidR="00DD7495" w:rsidRPr="00DD7495">
        <w:rPr>
          <w:rFonts w:asciiTheme="minorHAnsi" w:hAnsiTheme="minorHAnsi"/>
          <w:color w:val="000000" w:themeColor="text1"/>
        </w:rPr>
        <w:t>Organizational Management. The program requires the study of organizational theory, operational processes, management techniques, school operations, and school board relationships.</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9F449B" w:rsidRDefault="00FB65C2" w:rsidP="00C720E2">
      <w:pPr>
        <w:autoSpaceDE w:val="0"/>
        <w:autoSpaceDN w:val="0"/>
        <w:adjustRightInd w:val="0"/>
        <w:rPr>
          <w:rFonts w:ascii="Calibri" w:hAnsi="Calibri"/>
          <w:color w:val="000000"/>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.7 </w:t>
      </w:r>
      <w:r w:rsidR="00DD7495" w:rsidRPr="00DD7495">
        <w:rPr>
          <w:rFonts w:asciiTheme="minorHAnsi" w:hAnsiTheme="minorHAnsi"/>
          <w:color w:val="000000" w:themeColor="text1"/>
        </w:rPr>
        <w:t>Interpersonal Relationships. The program requires the study of interpersonal relationships, communications, and issues related to diversity in a multicultural society.</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9F449B" w:rsidRDefault="00FB65C2" w:rsidP="00C720E2">
      <w:pPr>
        <w:autoSpaceDE w:val="0"/>
        <w:autoSpaceDN w:val="0"/>
        <w:adjustRightInd w:val="0"/>
        <w:rPr>
          <w:rFonts w:ascii="Calibri" w:hAnsi="Calibri"/>
          <w:color w:val="000000"/>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.8 </w:t>
      </w:r>
      <w:r w:rsidR="00DD7495" w:rsidRPr="00DD7495">
        <w:rPr>
          <w:rFonts w:asciiTheme="minorHAnsi" w:hAnsiTheme="minorHAnsi"/>
          <w:color w:val="000000" w:themeColor="text1"/>
        </w:rPr>
        <w:t>Financial Management and Resource Allocation. The program requires the study of the organization and management of fiscal, plant, and other resources.</w:t>
      </w:r>
    </w:p>
    <w:p w:rsidR="009F449B" w:rsidRDefault="009F449B" w:rsidP="00295B27">
      <w:pPr>
        <w:pStyle w:val="BodyTextIndent"/>
        <w:ind w:left="720" w:hanging="360"/>
        <w:jc w:val="both"/>
        <w:rPr>
          <w:rFonts w:ascii="Calibri" w:hAnsi="Calibri"/>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DD7495" w:rsidRDefault="00FB65C2" w:rsidP="00C720E2">
      <w:pPr>
        <w:autoSpaceDE w:val="0"/>
        <w:autoSpaceDN w:val="0"/>
        <w:adjustRightInd w:val="0"/>
        <w:rPr>
          <w:rFonts w:asciiTheme="minorHAnsi" w:hAnsiTheme="minorHAnsi"/>
          <w:color w:val="000000"/>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.9 </w:t>
      </w:r>
      <w:r w:rsidR="00DD7495" w:rsidRPr="00DD7495">
        <w:rPr>
          <w:rFonts w:asciiTheme="minorHAnsi" w:hAnsiTheme="minorHAnsi"/>
          <w:color w:val="000000" w:themeColor="text1"/>
        </w:rPr>
        <w:t>Technology and Information Systems. The program requires the study of appropriate incorporation of technologies across all areas of educational leadership. The program uses a variety of performance assessments of students’ understanding and ability to apply that knowledge.</w:t>
      </w:r>
    </w:p>
    <w:p w:rsidR="009F449B" w:rsidRPr="00DD7495" w:rsidRDefault="009F449B" w:rsidP="00295B27">
      <w:pPr>
        <w:pStyle w:val="BodyTextIndent"/>
        <w:ind w:left="720" w:hanging="360"/>
        <w:jc w:val="both"/>
        <w:rPr>
          <w:rFonts w:asciiTheme="minorHAnsi" w:hAnsiTheme="minorHAnsi"/>
          <w:szCs w:val="24"/>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DD7495" w:rsidRDefault="00FB65C2" w:rsidP="00C720E2">
      <w:pPr>
        <w:autoSpaceDE w:val="0"/>
        <w:autoSpaceDN w:val="0"/>
        <w:adjustRightInd w:val="0"/>
        <w:rPr>
          <w:rFonts w:asciiTheme="minorHAnsi" w:hAnsiTheme="minorHAnsi"/>
          <w:color w:val="000000"/>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.10 </w:t>
      </w:r>
      <w:r w:rsidR="00DD7495" w:rsidRPr="00DD7495">
        <w:rPr>
          <w:rFonts w:asciiTheme="minorHAnsi" w:hAnsiTheme="minorHAnsi"/>
          <w:color w:val="000000" w:themeColor="text1"/>
        </w:rPr>
        <w:t>Community and Media Relations. The program requires the study of ethical implications of policy initiatives and political actions, schools as political systems, effective communications and public relations programs, and appropriate roles of citizens in the educational process.</w:t>
      </w:r>
    </w:p>
    <w:p w:rsidR="009F449B" w:rsidRPr="00DD7495" w:rsidRDefault="009F449B" w:rsidP="007557C5">
      <w:pPr>
        <w:pStyle w:val="BodyTextIndent"/>
        <w:ind w:left="720" w:hanging="360"/>
        <w:rPr>
          <w:rFonts w:asciiTheme="minorHAnsi" w:hAnsiTheme="minorHAnsi"/>
          <w:szCs w:val="24"/>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9F449B" w:rsidRPr="00DD7495" w:rsidRDefault="00FB65C2" w:rsidP="00C720E2">
      <w:pPr>
        <w:autoSpaceDE w:val="0"/>
        <w:autoSpaceDN w:val="0"/>
        <w:adjustRightInd w:val="0"/>
        <w:rPr>
          <w:rFonts w:asciiTheme="minorHAnsi" w:hAnsiTheme="minorHAnsi"/>
        </w:rPr>
      </w:pPr>
      <w:r>
        <w:rPr>
          <w:rFonts w:ascii="Calibri-Bold" w:eastAsiaTheme="minorHAnsi" w:hAnsi="Calibri-Bold" w:cs="Calibri-Bold"/>
          <w:b/>
          <w:bCs/>
        </w:rPr>
        <w:t>50045</w:t>
      </w:r>
      <w:r w:rsidR="009F449B" w:rsidRPr="009F449B">
        <w:rPr>
          <w:rFonts w:ascii="Calibri-Bold" w:eastAsiaTheme="minorHAnsi" w:hAnsi="Calibri-Bold" w:cs="Calibri-Bold"/>
          <w:b/>
          <w:bCs/>
        </w:rPr>
        <w:t xml:space="preserve">.11 </w:t>
      </w:r>
      <w:r w:rsidR="00DD7495" w:rsidRPr="00DD7495">
        <w:rPr>
          <w:rFonts w:asciiTheme="minorHAnsi" w:hAnsiTheme="minorHAnsi"/>
          <w:color w:val="000000" w:themeColor="text1"/>
        </w:rPr>
        <w:t>Educational Law, Public Policy, and Political Systems. The program requires the study of legal provisions and statutory requirements of schools, application of regulatory standards, and development and administration of appropriate policies.</w:t>
      </w:r>
    </w:p>
    <w:p w:rsidR="00F55777" w:rsidRDefault="00F55777" w:rsidP="009F449B">
      <w:pPr>
        <w:pStyle w:val="BodyTextIndent"/>
        <w:ind w:left="720" w:hanging="360"/>
        <w:rPr>
          <w:rFonts w:ascii="Calibri" w:hAnsi="Calibri"/>
        </w:rPr>
      </w:pPr>
    </w:p>
    <w:p w:rsidR="009F449B" w:rsidRPr="007557C5" w:rsidRDefault="009F449B" w:rsidP="009F449B">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9F449B" w:rsidRPr="00BA3FDA" w:rsidRDefault="009F449B" w:rsidP="009F449B">
      <w:pPr>
        <w:ind w:left="720" w:hanging="360"/>
        <w:jc w:val="both"/>
        <w:rPr>
          <w:rFonts w:ascii="Calibri" w:hAnsi="Calibri"/>
          <w:sz w:val="16"/>
        </w:rPr>
      </w:pPr>
    </w:p>
    <w:p w:rsidR="009F449B" w:rsidRPr="00BA3FDA" w:rsidRDefault="009F449B" w:rsidP="009F449B">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E3E">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9F449B" w:rsidRDefault="009F449B" w:rsidP="009F449B">
      <w:pPr>
        <w:jc w:val="both"/>
        <w:rPr>
          <w:rFonts w:ascii="Calibri" w:hAnsi="Calibri"/>
        </w:rPr>
      </w:pPr>
      <w:r>
        <w:rPr>
          <w:rFonts w:ascii="Calibri" w:hAnsi="Calibri"/>
        </w:rPr>
        <w:t xml:space="preserve"> </w:t>
      </w:r>
    </w:p>
    <w:p w:rsidR="009F449B" w:rsidRPr="00BA3FDA" w:rsidRDefault="009F449B" w:rsidP="009F449B">
      <w:pPr>
        <w:ind w:left="720"/>
        <w:jc w:val="both"/>
        <w:rPr>
          <w:rFonts w:ascii="Calibri" w:hAnsi="Calibri"/>
        </w:rPr>
      </w:pPr>
    </w:p>
    <w:p w:rsidR="009F449B" w:rsidRPr="007557C5" w:rsidRDefault="009F449B" w:rsidP="009F449B">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9F449B" w:rsidRPr="00BA3FDA" w:rsidRDefault="009F449B" w:rsidP="009F449B">
      <w:pPr>
        <w:ind w:left="720" w:hanging="360"/>
        <w:jc w:val="both"/>
        <w:rPr>
          <w:rFonts w:ascii="Calibri" w:hAnsi="Calibri"/>
          <w:sz w:val="16"/>
        </w:rPr>
      </w:pPr>
    </w:p>
    <w:p w:rsidR="009F449B" w:rsidRPr="00BA3FDA" w:rsidRDefault="009F449B" w:rsidP="009F449B">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9F449B" w:rsidRPr="00BA3FDA" w:rsidRDefault="009F449B" w:rsidP="009F449B">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9F449B" w:rsidRPr="00BA3FDA" w:rsidRDefault="009F449B" w:rsidP="009F449B">
      <w:pPr>
        <w:ind w:left="720"/>
        <w:jc w:val="both"/>
        <w:rPr>
          <w:rFonts w:ascii="Calibri" w:hAnsi="Calibri"/>
        </w:rPr>
      </w:pPr>
    </w:p>
    <w:p w:rsidR="009F449B" w:rsidRPr="00C8134A" w:rsidRDefault="009F449B" w:rsidP="009F449B">
      <w:pPr>
        <w:ind w:left="720"/>
        <w:jc w:val="both"/>
        <w:rPr>
          <w:rFonts w:ascii="Calibri" w:hAnsi="Calibri"/>
          <w:b/>
        </w:rPr>
      </w:pPr>
      <w:r>
        <w:rPr>
          <w:rFonts w:ascii="Calibri" w:hAnsi="Calibri"/>
        </w:rPr>
        <w:t xml:space="preserve">ii.   </w:t>
      </w:r>
      <w:r w:rsidRPr="00C8134A">
        <w:rPr>
          <w:rFonts w:ascii="Calibri" w:hAnsi="Calibri"/>
          <w:b/>
        </w:rPr>
        <w:t>Rationale:</w:t>
      </w:r>
    </w:p>
    <w:p w:rsidR="009F449B" w:rsidRPr="00BA3FDA" w:rsidRDefault="009F449B" w:rsidP="009F449B">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9F449B" w:rsidRPr="002319B3" w:rsidRDefault="009F449B" w:rsidP="009F449B">
      <w:pPr>
        <w:jc w:val="both"/>
        <w:rPr>
          <w:rFonts w:ascii="Calibri" w:hAnsi="Calibri"/>
        </w:rPr>
      </w:pPr>
    </w:p>
    <w:p w:rsidR="00DD7495" w:rsidRDefault="00DD7495">
      <w:pPr>
        <w:spacing w:after="200" w:line="276" w:lineRule="auto"/>
        <w:rPr>
          <w:rFonts w:ascii="Calibri" w:hAnsi="Calibri"/>
          <w:b/>
        </w:rPr>
      </w:pPr>
      <w:r>
        <w:rPr>
          <w:rFonts w:ascii="Calibri" w:hAnsi="Calibri"/>
          <w:b/>
        </w:rPr>
        <w:br w:type="page"/>
      </w: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D3E3E">
        <w:rPr>
          <w:rFonts w:ascii="Calibri" w:hAnsi="Calibri"/>
          <w:b/>
        </w:rPr>
        <w:t>(or status sheet</w:t>
      </w:r>
      <w:proofErr w:type="gramStart"/>
      <w:r w:rsidR="007D3E3E">
        <w:rPr>
          <w:rFonts w:ascii="Calibri" w:hAnsi="Calibri"/>
          <w:b/>
        </w:rPr>
        <w:t>) :</w:t>
      </w:r>
      <w:proofErr w:type="gramEnd"/>
      <w:r w:rsidR="007D3E3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Content Expert Review of Standard and recommendation to Sta</w:t>
      </w:r>
      <w:r w:rsidR="007D3E3E">
        <w:rPr>
          <w:rFonts w:ascii="Calibri" w:hAnsi="Calibri"/>
          <w:b/>
        </w:rPr>
        <w:t>te Board of Examiner (BOE)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1739B6">
        <w:rPr>
          <w:rFonts w:ascii="Calibri" w:hAnsi="Calibri"/>
        </w:rPr>
        <w:t>the Education Standards and Practices Board Executive Director at (701) 328-9646.</w:t>
      </w:r>
    </w:p>
    <w:p w:rsidR="001739B6" w:rsidRPr="00BA3FDA" w:rsidRDefault="001739B6"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805EB6">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02" w:rsidRDefault="007C5202">
      <w:r>
        <w:separator/>
      </w:r>
    </w:p>
  </w:endnote>
  <w:endnote w:type="continuationSeparator" w:id="0">
    <w:p w:rsidR="007C5202" w:rsidRDefault="007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C607DD"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7DD">
      <w:rPr>
        <w:rStyle w:val="PageNumber"/>
        <w:noProof/>
      </w:rPr>
      <w:t>7</w:t>
    </w:r>
    <w:r>
      <w:rPr>
        <w:rStyle w:val="PageNumber"/>
      </w:rPr>
      <w:fldChar w:fldCharType="end"/>
    </w:r>
  </w:p>
  <w:p w:rsidR="00F2007E" w:rsidRDefault="00C607DD"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02" w:rsidRDefault="007C5202">
      <w:r>
        <w:separator/>
      </w:r>
    </w:p>
  </w:footnote>
  <w:footnote w:type="continuationSeparator" w:id="0">
    <w:p w:rsidR="007C5202" w:rsidRDefault="007C5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F0F7F"/>
    <w:rsid w:val="001739B6"/>
    <w:rsid w:val="00175E55"/>
    <w:rsid w:val="00295B27"/>
    <w:rsid w:val="002B571F"/>
    <w:rsid w:val="002C0482"/>
    <w:rsid w:val="00302203"/>
    <w:rsid w:val="003060DD"/>
    <w:rsid w:val="004101B1"/>
    <w:rsid w:val="00501237"/>
    <w:rsid w:val="00676348"/>
    <w:rsid w:val="007557C5"/>
    <w:rsid w:val="007C5202"/>
    <w:rsid w:val="007D3E3E"/>
    <w:rsid w:val="00805EB6"/>
    <w:rsid w:val="008C6FB6"/>
    <w:rsid w:val="009F449B"/>
    <w:rsid w:val="00A24F1A"/>
    <w:rsid w:val="00C607DD"/>
    <w:rsid w:val="00C720E2"/>
    <w:rsid w:val="00CF65CD"/>
    <w:rsid w:val="00D75953"/>
    <w:rsid w:val="00DD7495"/>
    <w:rsid w:val="00EF5C9F"/>
    <w:rsid w:val="00F41E5E"/>
    <w:rsid w:val="00F55777"/>
    <w:rsid w:val="00F95650"/>
    <w:rsid w:val="00FB65C2"/>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9</cp:revision>
  <cp:lastPrinted>2017-05-02T21:09:00Z</cp:lastPrinted>
  <dcterms:created xsi:type="dcterms:W3CDTF">2017-05-02T21:09:00Z</dcterms:created>
  <dcterms:modified xsi:type="dcterms:W3CDTF">2017-06-22T21:15:00Z</dcterms:modified>
</cp:coreProperties>
</file>