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27" w:rsidRPr="00BA3FDA" w:rsidRDefault="00FB7C1A" w:rsidP="00295B27">
      <w:pPr>
        <w:jc w:val="center"/>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14:anchorId="38000E59" wp14:editId="75333BFA">
            <wp:simplePos x="0" y="0"/>
            <wp:positionH relativeFrom="column">
              <wp:posOffset>-182880</wp:posOffset>
            </wp:positionH>
            <wp:positionV relativeFrom="paragraph">
              <wp:posOffset>-106680</wp:posOffset>
            </wp:positionV>
            <wp:extent cx="975360" cy="8089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5360" cy="808990"/>
                    </a:xfrm>
                    <a:prstGeom prst="rect">
                      <a:avLst/>
                    </a:prstGeom>
                  </pic:spPr>
                </pic:pic>
              </a:graphicData>
            </a:graphic>
            <wp14:sizeRelH relativeFrom="page">
              <wp14:pctWidth>0</wp14:pctWidth>
            </wp14:sizeRelH>
            <wp14:sizeRelV relativeFrom="page">
              <wp14:pctHeight>0</wp14:pctHeight>
            </wp14:sizeRelV>
          </wp:anchor>
        </w:drawing>
      </w:r>
      <w:r w:rsidR="00295B27" w:rsidRPr="00BA3FDA">
        <w:rPr>
          <w:rFonts w:ascii="Calibri" w:hAnsi="Calibri"/>
          <w:b/>
          <w:sz w:val="28"/>
          <w:szCs w:val="28"/>
        </w:rPr>
        <w:t xml:space="preserve">Content Expert Report </w:t>
      </w:r>
    </w:p>
    <w:p w:rsidR="00295B27" w:rsidRDefault="00FB7C1A" w:rsidP="00FB7C1A">
      <w:pPr>
        <w:tabs>
          <w:tab w:val="center" w:pos="4680"/>
        </w:tabs>
        <w:rPr>
          <w:rFonts w:ascii="Calibri" w:hAnsi="Calibri"/>
          <w:b/>
          <w:sz w:val="28"/>
          <w:szCs w:val="28"/>
        </w:rPr>
      </w:pPr>
      <w:r>
        <w:rPr>
          <w:rFonts w:ascii="Calibri" w:hAnsi="Calibri"/>
          <w:b/>
          <w:sz w:val="28"/>
          <w:szCs w:val="28"/>
        </w:rPr>
        <w:tab/>
      </w:r>
      <w:r w:rsidR="00A53F41">
        <w:rPr>
          <w:rFonts w:ascii="Calibri" w:hAnsi="Calibri"/>
          <w:b/>
          <w:sz w:val="28"/>
          <w:szCs w:val="28"/>
        </w:rPr>
        <w:t>Advanced Programs for Teachers</w:t>
      </w:r>
      <w:r w:rsidR="00CF65CD">
        <w:rPr>
          <w:rFonts w:ascii="Calibri" w:hAnsi="Calibri"/>
          <w:b/>
          <w:sz w:val="28"/>
          <w:szCs w:val="28"/>
        </w:rPr>
        <w:t xml:space="preserve"> (Advanced)</w:t>
      </w:r>
      <w:r w:rsidR="00295B27">
        <w:rPr>
          <w:rFonts w:ascii="Calibri" w:hAnsi="Calibri"/>
          <w:b/>
          <w:sz w:val="28"/>
          <w:szCs w:val="28"/>
        </w:rPr>
        <w:t xml:space="preserve"> Education</w:t>
      </w:r>
    </w:p>
    <w:p w:rsidR="00FB7C1A" w:rsidRPr="00BA3FDA" w:rsidRDefault="00FB7C1A" w:rsidP="00295B27">
      <w:pPr>
        <w:jc w:val="center"/>
        <w:rPr>
          <w:rFonts w:ascii="Calibri" w:hAnsi="Calibri"/>
          <w:b/>
          <w:sz w:val="28"/>
          <w:szCs w:val="28"/>
        </w:rPr>
      </w:pPr>
      <w:r>
        <w:rPr>
          <w:rFonts w:ascii="Calibri" w:hAnsi="Calibri"/>
          <w:b/>
          <w:sz w:val="28"/>
          <w:szCs w:val="28"/>
        </w:rPr>
        <w:t>(05-17)</w:t>
      </w:r>
    </w:p>
    <w:p w:rsidR="00295B27" w:rsidRPr="00BA3FDA" w:rsidRDefault="00295B27" w:rsidP="00295B27">
      <w:pPr>
        <w:jc w:val="center"/>
        <w:rPr>
          <w:rFonts w:ascii="Calibri" w:hAnsi="Calibri"/>
          <w:b/>
          <w:sz w:val="28"/>
          <w:szCs w:val="28"/>
        </w:rPr>
      </w:pPr>
    </w:p>
    <w:p w:rsidR="00295B27" w:rsidRPr="002529B0" w:rsidRDefault="00295B27" w:rsidP="00295B27">
      <w:pPr>
        <w:jc w:val="center"/>
        <w:rPr>
          <w:rFonts w:ascii="Arial Black" w:hAnsi="Arial Black"/>
          <w:sz w:val="28"/>
          <w:szCs w:val="28"/>
        </w:rPr>
      </w:pPr>
      <w:r w:rsidRPr="002529B0">
        <w:rPr>
          <w:rFonts w:ascii="Arial Black" w:hAnsi="Arial Black"/>
          <w:sz w:val="28"/>
          <w:szCs w:val="28"/>
        </w:rPr>
        <w:t>Education Standards and Practices Board</w:t>
      </w:r>
    </w:p>
    <w:p w:rsidR="00295B27" w:rsidRPr="00BA3FDA" w:rsidRDefault="00295B27" w:rsidP="00295B27">
      <w:pPr>
        <w:rPr>
          <w:rFonts w:ascii="Calibri" w:hAnsi="Calibri"/>
        </w:rPr>
      </w:pPr>
    </w:p>
    <w:p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491B2E">
        <w:rPr>
          <w:rFonts w:ascii="Calibri" w:hAnsi="Calibri"/>
          <w:b/>
        </w:rPr>
      </w:r>
      <w:r w:rsidR="00491B2E">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491B2E">
        <w:rPr>
          <w:rFonts w:ascii="Calibri" w:hAnsi="Calibri"/>
          <w:b/>
        </w:rPr>
      </w:r>
      <w:r w:rsidR="00491B2E">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491B2E">
        <w:rPr>
          <w:rFonts w:ascii="Calibri" w:hAnsi="Calibri"/>
          <w:b/>
        </w:rPr>
      </w:r>
      <w:r w:rsidR="00491B2E">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58"/>
        <w:gridCol w:w="6318"/>
      </w:tblGrid>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rsidR="00295B27" w:rsidRDefault="00295B27" w:rsidP="00C42F37">
            <w:pPr>
              <w:ind w:left="720"/>
              <w:jc w:val="both"/>
              <w:rPr>
                <w:rFonts w:ascii="Calibri" w:hAnsi="Calibri"/>
              </w:rPr>
            </w:pPr>
          </w:p>
          <w:p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Degree</w:t>
            </w:r>
            <w:r w:rsidR="00BD7CFF">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Grade Level(s)</w:t>
            </w:r>
            <w:r w:rsidR="00BD7CFF">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rsidR="00295B27" w:rsidRDefault="00295B27" w:rsidP="00295B27">
      <w:pPr>
        <w:jc w:val="both"/>
        <w:rPr>
          <w:rFonts w:ascii="Calibri" w:hAnsi="Calibri"/>
          <w:b/>
        </w:rPr>
      </w:pPr>
    </w:p>
    <w:p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491B2E">
        <w:rPr>
          <w:rFonts w:ascii="Calibri" w:hAnsi="Calibri"/>
          <w:b/>
        </w:rPr>
      </w:r>
      <w:r w:rsidR="00491B2E">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491B2E">
        <w:rPr>
          <w:rFonts w:ascii="Calibri" w:hAnsi="Calibri"/>
          <w:b/>
        </w:rPr>
      </w:r>
      <w:r w:rsidR="00491B2E">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rsidR="00295B27" w:rsidRDefault="00295B27" w:rsidP="00295B27">
      <w:pPr>
        <w:jc w:val="both"/>
        <w:rPr>
          <w:rFonts w:ascii="Calibri" w:hAnsi="Calibri"/>
        </w:rPr>
      </w:pPr>
    </w:p>
    <w:p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firstLine="720"/>
        <w:jc w:val="both"/>
        <w:rPr>
          <w:rFonts w:ascii="Calibri" w:hAnsi="Calibri"/>
        </w:rPr>
      </w:pPr>
    </w:p>
    <w:p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w:t>
      </w:r>
      <w:r w:rsidR="00BD7CFF">
        <w:rPr>
          <w:rFonts w:ascii="Calibri" w:hAnsi="Calibri"/>
        </w:rPr>
        <w:t>lumn that matches your decision.</w:t>
      </w:r>
    </w:p>
    <w:tbl>
      <w:tblPr>
        <w:tblStyle w:val="TableGrid"/>
        <w:tblW w:w="0" w:type="auto"/>
        <w:tblLook w:val="04A0" w:firstRow="1" w:lastRow="0" w:firstColumn="1" w:lastColumn="0" w:noHBand="0" w:noVBand="1"/>
      </w:tblPr>
      <w:tblGrid>
        <w:gridCol w:w="2394"/>
        <w:gridCol w:w="2394"/>
        <w:gridCol w:w="2394"/>
        <w:gridCol w:w="2394"/>
      </w:tblGrid>
      <w:tr w:rsidR="00295B27" w:rsidRPr="0075722B" w:rsidTr="000A2E82">
        <w:trPr>
          <w:trHeight w:val="432"/>
        </w:trPr>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rsidTr="000A2E82">
        <w:trPr>
          <w:trHeight w:val="432"/>
        </w:trPr>
        <w:tc>
          <w:tcPr>
            <w:tcW w:w="2394" w:type="dxa"/>
          </w:tcPr>
          <w:p w:rsidR="00DD7495" w:rsidRPr="009F449B" w:rsidRDefault="000A2E82" w:rsidP="00DD7495">
            <w:pPr>
              <w:widowControl w:val="0"/>
              <w:tabs>
                <w:tab w:val="left" w:pos="1440"/>
              </w:tabs>
              <w:autoSpaceDE w:val="0"/>
              <w:autoSpaceDN w:val="0"/>
              <w:adjustRightInd w:val="0"/>
              <w:jc w:val="center"/>
              <w:rPr>
                <w:rFonts w:ascii="Calibri" w:hAnsi="Calibri"/>
                <w:b/>
              </w:rPr>
            </w:pPr>
            <w:r>
              <w:rPr>
                <w:rFonts w:ascii="Calibri" w:hAnsi="Calibri"/>
                <w:b/>
              </w:rPr>
              <w:t>A</w:t>
            </w:r>
            <w:r w:rsidR="00A53F41">
              <w:rPr>
                <w:rFonts w:ascii="Calibri" w:hAnsi="Calibri"/>
                <w:b/>
              </w:rPr>
              <w:t>.1</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0A2E82">
        <w:trPr>
          <w:trHeight w:val="432"/>
        </w:trPr>
        <w:tc>
          <w:tcPr>
            <w:tcW w:w="2394" w:type="dxa"/>
          </w:tcPr>
          <w:p w:rsidR="00295B27" w:rsidRPr="009F449B" w:rsidRDefault="000A2E82" w:rsidP="00C42F37">
            <w:pPr>
              <w:widowControl w:val="0"/>
              <w:tabs>
                <w:tab w:val="left" w:pos="1440"/>
              </w:tabs>
              <w:autoSpaceDE w:val="0"/>
              <w:autoSpaceDN w:val="0"/>
              <w:adjustRightInd w:val="0"/>
              <w:jc w:val="center"/>
              <w:rPr>
                <w:rFonts w:ascii="Calibri" w:hAnsi="Calibri"/>
                <w:b/>
              </w:rPr>
            </w:pPr>
            <w:r>
              <w:rPr>
                <w:rFonts w:ascii="Calibri" w:hAnsi="Calibri"/>
                <w:b/>
              </w:rPr>
              <w:t>A</w:t>
            </w:r>
            <w:r w:rsidR="00A53F41">
              <w:rPr>
                <w:rFonts w:ascii="Calibri" w:hAnsi="Calibri"/>
                <w:b/>
              </w:rPr>
              <w:t>.2</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0A2E82">
        <w:trPr>
          <w:trHeight w:val="432"/>
        </w:trPr>
        <w:tc>
          <w:tcPr>
            <w:tcW w:w="2394" w:type="dxa"/>
          </w:tcPr>
          <w:p w:rsidR="00295B27" w:rsidRPr="009F449B" w:rsidRDefault="000A2E82" w:rsidP="00C42F37">
            <w:pPr>
              <w:widowControl w:val="0"/>
              <w:tabs>
                <w:tab w:val="left" w:pos="1440"/>
              </w:tabs>
              <w:autoSpaceDE w:val="0"/>
              <w:autoSpaceDN w:val="0"/>
              <w:adjustRightInd w:val="0"/>
              <w:jc w:val="center"/>
              <w:rPr>
                <w:rFonts w:ascii="Calibri" w:hAnsi="Calibri"/>
                <w:b/>
              </w:rPr>
            </w:pPr>
            <w:r>
              <w:rPr>
                <w:rFonts w:ascii="Calibri" w:hAnsi="Calibri"/>
                <w:b/>
              </w:rPr>
              <w:t>A</w:t>
            </w:r>
            <w:r w:rsidR="00A53F41">
              <w:rPr>
                <w:rFonts w:ascii="Calibri" w:hAnsi="Calibri"/>
                <w:b/>
              </w:rPr>
              <w:t>.3</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0A2E82">
        <w:trPr>
          <w:trHeight w:val="432"/>
        </w:trPr>
        <w:tc>
          <w:tcPr>
            <w:tcW w:w="2394" w:type="dxa"/>
          </w:tcPr>
          <w:p w:rsidR="00295B27" w:rsidRPr="009F449B" w:rsidRDefault="000A2E82" w:rsidP="00C42F37">
            <w:pPr>
              <w:widowControl w:val="0"/>
              <w:tabs>
                <w:tab w:val="left" w:pos="1440"/>
              </w:tabs>
              <w:autoSpaceDE w:val="0"/>
              <w:autoSpaceDN w:val="0"/>
              <w:adjustRightInd w:val="0"/>
              <w:jc w:val="center"/>
              <w:rPr>
                <w:rFonts w:ascii="Calibri" w:hAnsi="Calibri"/>
                <w:b/>
              </w:rPr>
            </w:pPr>
            <w:r>
              <w:rPr>
                <w:rFonts w:ascii="Calibri" w:hAnsi="Calibri"/>
                <w:b/>
              </w:rPr>
              <w:t>A</w:t>
            </w:r>
            <w:r w:rsidR="00A53F41">
              <w:rPr>
                <w:rFonts w:ascii="Calibri" w:hAnsi="Calibri"/>
                <w:b/>
              </w:rPr>
              <w:t>.4</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0A2E82">
        <w:trPr>
          <w:trHeight w:val="432"/>
        </w:trPr>
        <w:tc>
          <w:tcPr>
            <w:tcW w:w="2394" w:type="dxa"/>
          </w:tcPr>
          <w:p w:rsidR="00295B27" w:rsidRPr="009F449B" w:rsidRDefault="000A2E82" w:rsidP="00C42F37">
            <w:pPr>
              <w:widowControl w:val="0"/>
              <w:tabs>
                <w:tab w:val="left" w:pos="1440"/>
              </w:tabs>
              <w:autoSpaceDE w:val="0"/>
              <w:autoSpaceDN w:val="0"/>
              <w:adjustRightInd w:val="0"/>
              <w:jc w:val="center"/>
              <w:rPr>
                <w:rFonts w:ascii="Calibri" w:hAnsi="Calibri"/>
                <w:b/>
              </w:rPr>
            </w:pPr>
            <w:r>
              <w:rPr>
                <w:rFonts w:ascii="Calibri" w:hAnsi="Calibri"/>
                <w:b/>
              </w:rPr>
              <w:t>A</w:t>
            </w:r>
            <w:r w:rsidR="00A53F41">
              <w:rPr>
                <w:rFonts w:ascii="Calibri" w:hAnsi="Calibri"/>
                <w:b/>
              </w:rPr>
              <w:t>.5</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bl>
    <w:p w:rsidR="00295B27" w:rsidRDefault="00295B27" w:rsidP="00295B27">
      <w:pPr>
        <w:widowControl w:val="0"/>
        <w:tabs>
          <w:tab w:val="left" w:pos="1440"/>
        </w:tabs>
        <w:autoSpaceDE w:val="0"/>
        <w:autoSpaceDN w:val="0"/>
        <w:adjustRightInd w:val="0"/>
        <w:jc w:val="center"/>
        <w:rPr>
          <w:rFonts w:ascii="Calibri" w:hAnsi="Calibri"/>
        </w:rPr>
      </w:pPr>
    </w:p>
    <w:p w:rsidR="00FF03A6" w:rsidRDefault="00FF03A6" w:rsidP="00295B27">
      <w:pPr>
        <w:widowControl w:val="0"/>
        <w:tabs>
          <w:tab w:val="left" w:pos="1440"/>
        </w:tabs>
        <w:autoSpaceDE w:val="0"/>
        <w:autoSpaceDN w:val="0"/>
        <w:adjustRightInd w:val="0"/>
        <w:jc w:val="center"/>
        <w:rPr>
          <w:rFonts w:ascii="Calibri" w:hAnsi="Calibri"/>
          <w:b/>
          <w:sz w:val="28"/>
          <w:szCs w:val="28"/>
        </w:rPr>
      </w:pPr>
    </w:p>
    <w:p w:rsidR="007F39F2" w:rsidRDefault="007F39F2">
      <w:pPr>
        <w:spacing w:after="200" w:line="276" w:lineRule="auto"/>
        <w:rPr>
          <w:rFonts w:ascii="Calibri" w:hAnsi="Calibri"/>
          <w:b/>
          <w:sz w:val="28"/>
          <w:szCs w:val="28"/>
        </w:rPr>
      </w:pPr>
      <w:r>
        <w:rPr>
          <w:rFonts w:ascii="Calibri" w:hAnsi="Calibri"/>
          <w:b/>
          <w:sz w:val="28"/>
          <w:szCs w:val="28"/>
        </w:rPr>
        <w:br w:type="page"/>
      </w:r>
    </w:p>
    <w:p w:rsidR="00295B27" w:rsidRPr="005837D7" w:rsidRDefault="007F39F2" w:rsidP="00295B27">
      <w:pPr>
        <w:widowControl w:val="0"/>
        <w:tabs>
          <w:tab w:val="left" w:pos="1440"/>
        </w:tabs>
        <w:autoSpaceDE w:val="0"/>
        <w:autoSpaceDN w:val="0"/>
        <w:adjustRightInd w:val="0"/>
        <w:jc w:val="center"/>
        <w:rPr>
          <w:rFonts w:ascii="Calibri" w:hAnsi="Calibri"/>
          <w:b/>
          <w:sz w:val="28"/>
          <w:szCs w:val="28"/>
        </w:rPr>
      </w:pPr>
      <w:r>
        <w:rPr>
          <w:rFonts w:ascii="Calibri" w:hAnsi="Calibri"/>
          <w:b/>
          <w:sz w:val="28"/>
          <w:szCs w:val="28"/>
        </w:rPr>
        <w:lastRenderedPageBreak/>
        <w:t>Program for Teachers</w:t>
      </w:r>
      <w:r w:rsidR="009F449B">
        <w:rPr>
          <w:rFonts w:ascii="Calibri" w:hAnsi="Calibri"/>
          <w:b/>
          <w:sz w:val="28"/>
          <w:szCs w:val="28"/>
        </w:rPr>
        <w:t xml:space="preserve"> (Advanced)</w:t>
      </w:r>
      <w:r w:rsidR="00295B27" w:rsidRPr="005837D7">
        <w:rPr>
          <w:rFonts w:ascii="Calibri" w:hAnsi="Calibri"/>
          <w:b/>
          <w:sz w:val="28"/>
          <w:szCs w:val="28"/>
        </w:rPr>
        <w:t xml:space="preserve"> Education</w:t>
      </w:r>
    </w:p>
    <w:p w:rsidR="00295B27" w:rsidRPr="002319B3" w:rsidRDefault="00295B27" w:rsidP="00295B27">
      <w:pPr>
        <w:widowControl w:val="0"/>
        <w:tabs>
          <w:tab w:val="left" w:pos="1440"/>
        </w:tabs>
        <w:autoSpaceDE w:val="0"/>
        <w:autoSpaceDN w:val="0"/>
        <w:adjustRightInd w:val="0"/>
        <w:jc w:val="both"/>
        <w:rPr>
          <w:rFonts w:ascii="Calibri" w:hAnsi="Calibri"/>
        </w:rPr>
      </w:pPr>
    </w:p>
    <w:p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rsidR="00295B27" w:rsidRPr="002319B3" w:rsidRDefault="00295B27" w:rsidP="00295B27">
      <w:pPr>
        <w:spacing w:line="240" w:lineRule="atLeast"/>
        <w:jc w:val="both"/>
        <w:rPr>
          <w:rFonts w:ascii="Calibri" w:hAnsi="Calibri"/>
        </w:rPr>
      </w:pPr>
    </w:p>
    <w:p w:rsidR="00295B27" w:rsidRPr="002319B3" w:rsidRDefault="00295B27" w:rsidP="00295B27">
      <w:pPr>
        <w:numPr>
          <w:ilvl w:val="0"/>
          <w:numId w:val="44"/>
        </w:numPr>
        <w:spacing w:line="240" w:lineRule="atLeast"/>
        <w:jc w:val="both"/>
        <w:rPr>
          <w:rFonts w:ascii="Calibri" w:hAnsi="Calibri"/>
        </w:rPr>
      </w:pPr>
      <w:r w:rsidRPr="002319B3">
        <w:rPr>
          <w:rFonts w:ascii="Calibri" w:hAnsi="Calibri"/>
        </w:rPr>
        <w:t xml:space="preserve">Make a </w:t>
      </w:r>
      <w:r>
        <w:rPr>
          <w:rFonts w:ascii="Calibri" w:hAnsi="Calibri"/>
        </w:rPr>
        <w:t>recommendation</w:t>
      </w:r>
      <w:r w:rsidRPr="002319B3">
        <w:rPr>
          <w:rFonts w:ascii="Calibri" w:hAnsi="Calibri"/>
        </w:rPr>
        <w:t xml:space="preserve"> for each </w:t>
      </w:r>
      <w:r>
        <w:rPr>
          <w:rFonts w:ascii="Calibri" w:hAnsi="Calibri"/>
        </w:rPr>
        <w:t xml:space="preserve">program </w:t>
      </w:r>
      <w:r w:rsidRPr="002319B3">
        <w:rPr>
          <w:rFonts w:ascii="Calibri" w:hAnsi="Calibri"/>
        </w:rPr>
        <w:t>standard as to whether it has been met, met wit</w:t>
      </w:r>
      <w:r>
        <w:rPr>
          <w:rFonts w:ascii="Calibri" w:hAnsi="Calibri"/>
        </w:rPr>
        <w:t>h weakness, or not met based on the evidence provided.</w:t>
      </w:r>
    </w:p>
    <w:p w:rsidR="00295B27" w:rsidRDefault="00295B27" w:rsidP="00295B27">
      <w:pPr>
        <w:numPr>
          <w:ilvl w:val="0"/>
          <w:numId w:val="44"/>
        </w:numPr>
        <w:spacing w:line="240" w:lineRule="atLeast"/>
        <w:jc w:val="both"/>
        <w:rPr>
          <w:rFonts w:ascii="Calibri" w:hAnsi="Calibri"/>
        </w:rPr>
      </w:pPr>
      <w:r>
        <w:rPr>
          <w:rFonts w:ascii="Calibri" w:hAnsi="Calibri"/>
        </w:rPr>
        <w:t xml:space="preserve">For any standard “met with weakness” </w:t>
      </w:r>
      <w:r w:rsidR="00FF03A6">
        <w:rPr>
          <w:rFonts w:ascii="Calibri" w:hAnsi="Calibri"/>
        </w:rPr>
        <w:t xml:space="preserve">or “not met” </w:t>
      </w:r>
      <w:r>
        <w:rPr>
          <w:rFonts w:ascii="Calibri" w:hAnsi="Calibri"/>
        </w:rPr>
        <w:t>identify the</w:t>
      </w:r>
      <w:r w:rsidRPr="006A6FFD">
        <w:rPr>
          <w:rFonts w:ascii="Calibri" w:hAnsi="Calibri"/>
        </w:rPr>
        <w:t xml:space="preserve"> </w:t>
      </w:r>
      <w:proofErr w:type="gramStart"/>
      <w:r w:rsidRPr="006A6FFD">
        <w:rPr>
          <w:rFonts w:ascii="Calibri" w:hAnsi="Calibri"/>
        </w:rPr>
        <w:t>weakness</w:t>
      </w:r>
      <w:r w:rsidR="00FF03A6">
        <w:rPr>
          <w:rFonts w:ascii="Calibri" w:hAnsi="Calibri"/>
        </w:rPr>
        <w:t>(</w:t>
      </w:r>
      <w:proofErr w:type="spellStart"/>
      <w:proofErr w:type="gramEnd"/>
      <w:r w:rsidR="00FF03A6">
        <w:rPr>
          <w:rFonts w:ascii="Calibri" w:hAnsi="Calibri"/>
        </w:rPr>
        <w:t>es</w:t>
      </w:r>
      <w:proofErr w:type="spellEnd"/>
      <w:r w:rsidR="00FF03A6">
        <w:rPr>
          <w:rFonts w:ascii="Calibri" w:hAnsi="Calibri"/>
        </w:rPr>
        <w:t>)</w:t>
      </w:r>
      <w:r>
        <w:rPr>
          <w:rFonts w:ascii="Calibri" w:hAnsi="Calibri"/>
        </w:rPr>
        <w:t xml:space="preserve"> </w:t>
      </w:r>
      <w:r w:rsidRPr="006A6FFD">
        <w:rPr>
          <w:rFonts w:ascii="Calibri" w:hAnsi="Calibri"/>
        </w:rPr>
        <w:t xml:space="preserve">and provide a </w:t>
      </w:r>
      <w:r>
        <w:rPr>
          <w:rFonts w:ascii="Calibri" w:hAnsi="Calibri"/>
        </w:rPr>
        <w:t>rationale.</w:t>
      </w:r>
    </w:p>
    <w:p w:rsidR="00FF03A6" w:rsidRPr="00FF03A6" w:rsidRDefault="00FF03A6" w:rsidP="00501237">
      <w:pPr>
        <w:spacing w:line="240" w:lineRule="atLeast"/>
        <w:ind w:left="720"/>
        <w:jc w:val="both"/>
        <w:rPr>
          <w:rFonts w:ascii="Calibri" w:hAnsi="Calibri"/>
        </w:rPr>
      </w:pPr>
    </w:p>
    <w:p w:rsidR="006B3D31" w:rsidRPr="00BD7CFF" w:rsidRDefault="006B3D31" w:rsidP="006B3D31">
      <w:pPr>
        <w:autoSpaceDE w:val="0"/>
        <w:autoSpaceDN w:val="0"/>
        <w:adjustRightInd w:val="0"/>
        <w:rPr>
          <w:rFonts w:ascii="Calibri-Bold" w:eastAsiaTheme="minorHAnsi" w:hAnsi="Calibri-Bold" w:cs="Calibri-Bold"/>
          <w:b/>
          <w:bCs/>
          <w:sz w:val="22"/>
          <w:szCs w:val="22"/>
        </w:rPr>
      </w:pPr>
      <w:r w:rsidRPr="00BD7CFF">
        <w:rPr>
          <w:rFonts w:ascii="Calibri-Bold" w:eastAsiaTheme="minorHAnsi" w:hAnsi="Calibri-Bold" w:cs="Calibri-Bold"/>
          <w:b/>
          <w:bCs/>
          <w:sz w:val="22"/>
          <w:szCs w:val="22"/>
        </w:rPr>
        <w:t>Advanced Programs for Teachers</w:t>
      </w:r>
    </w:p>
    <w:p w:rsidR="006B3D31" w:rsidRPr="006B3D31" w:rsidRDefault="006B3D31" w:rsidP="006B3D31">
      <w:pPr>
        <w:autoSpaceDE w:val="0"/>
        <w:autoSpaceDN w:val="0"/>
        <w:adjustRightInd w:val="0"/>
        <w:rPr>
          <w:rFonts w:ascii="Calibri" w:eastAsiaTheme="minorHAnsi" w:hAnsi="Calibri" w:cs="Calibri"/>
        </w:rPr>
      </w:pPr>
      <w:r w:rsidRPr="006B3D31">
        <w:rPr>
          <w:rFonts w:ascii="Calibri" w:eastAsiaTheme="minorHAnsi" w:hAnsi="Calibri" w:cs="Calibri"/>
        </w:rPr>
        <w:t>Advanced programs for teachers follow one of two designs. Advan</w:t>
      </w:r>
      <w:r>
        <w:rPr>
          <w:rFonts w:ascii="Calibri" w:eastAsiaTheme="minorHAnsi" w:hAnsi="Calibri" w:cs="Calibri"/>
        </w:rPr>
        <w:t xml:space="preserve">ced program designs A and B are </w:t>
      </w:r>
      <w:r w:rsidRPr="006B3D31">
        <w:rPr>
          <w:rFonts w:ascii="Calibri" w:eastAsiaTheme="minorHAnsi" w:hAnsi="Calibri" w:cs="Calibri"/>
        </w:rPr>
        <w:t>planned for individuals who have already successfully completed basic</w:t>
      </w:r>
      <w:r>
        <w:rPr>
          <w:rFonts w:ascii="Calibri" w:eastAsiaTheme="minorHAnsi" w:hAnsi="Calibri" w:cs="Calibri"/>
        </w:rPr>
        <w:t xml:space="preserve"> programs qualifying them for a </w:t>
      </w:r>
      <w:r w:rsidRPr="006B3D31">
        <w:rPr>
          <w:rFonts w:ascii="Calibri" w:eastAsiaTheme="minorHAnsi" w:hAnsi="Calibri" w:cs="Calibri"/>
        </w:rPr>
        <w:t>teaching license. The emphasis, in both content and rigor, is on advanced study.</w:t>
      </w:r>
    </w:p>
    <w:p w:rsidR="006B3D31" w:rsidRDefault="006B3D31" w:rsidP="006B3D31">
      <w:pPr>
        <w:autoSpaceDE w:val="0"/>
        <w:autoSpaceDN w:val="0"/>
        <w:adjustRightInd w:val="0"/>
        <w:rPr>
          <w:rFonts w:ascii="Calibri" w:eastAsiaTheme="minorHAnsi" w:hAnsi="Calibri" w:cs="Calibri"/>
        </w:rPr>
      </w:pPr>
    </w:p>
    <w:p w:rsidR="006B3D31" w:rsidRPr="006B3D31" w:rsidRDefault="006B3D31" w:rsidP="006B3D31">
      <w:pPr>
        <w:autoSpaceDE w:val="0"/>
        <w:autoSpaceDN w:val="0"/>
        <w:adjustRightInd w:val="0"/>
        <w:rPr>
          <w:rFonts w:ascii="Calibri" w:eastAsiaTheme="minorHAnsi" w:hAnsi="Calibri" w:cs="Calibri"/>
        </w:rPr>
      </w:pPr>
      <w:r w:rsidRPr="00BD7CFF">
        <w:rPr>
          <w:rFonts w:ascii="Calibri" w:eastAsiaTheme="minorHAnsi" w:hAnsi="Calibri" w:cs="Calibri"/>
          <w:b/>
          <w:sz w:val="22"/>
          <w:szCs w:val="22"/>
        </w:rPr>
        <w:t>A)</w:t>
      </w:r>
      <w:r w:rsidRPr="00BD7CFF">
        <w:rPr>
          <w:rFonts w:ascii="Calibri" w:eastAsiaTheme="minorHAnsi" w:hAnsi="Calibri" w:cs="Calibri"/>
          <w:sz w:val="22"/>
          <w:szCs w:val="22"/>
        </w:rPr>
        <w:t xml:space="preserve"> </w:t>
      </w:r>
      <w:r w:rsidRPr="00BD7CFF">
        <w:rPr>
          <w:rFonts w:ascii="Calibri-Bold" w:eastAsiaTheme="minorHAnsi" w:hAnsi="Calibri-Bold" w:cs="Calibri-Bold"/>
          <w:b/>
          <w:bCs/>
          <w:sz w:val="22"/>
          <w:szCs w:val="22"/>
        </w:rPr>
        <w:t>Advanced Study in Specialty Area Education</w:t>
      </w:r>
      <w:r w:rsidR="00E03DB6">
        <w:rPr>
          <w:rFonts w:ascii="Calibri-Bold" w:eastAsiaTheme="minorHAnsi" w:hAnsi="Calibri-Bold" w:cs="Calibri-Bold"/>
          <w:b/>
          <w:bCs/>
          <w:sz w:val="22"/>
          <w:szCs w:val="22"/>
        </w:rPr>
        <w:t xml:space="preserve">: </w:t>
      </w:r>
      <w:r w:rsidR="00E03DB6">
        <w:rPr>
          <w:rFonts w:ascii="Calibri" w:eastAsiaTheme="minorHAnsi" w:hAnsi="Calibri" w:cs="Calibri"/>
        </w:rPr>
        <w:t>A</w:t>
      </w:r>
      <w:r w:rsidRPr="006B3D31">
        <w:rPr>
          <w:rFonts w:ascii="Calibri" w:eastAsiaTheme="minorHAnsi" w:hAnsi="Calibri" w:cs="Calibri"/>
        </w:rPr>
        <w:t>dvanced programs in s</w:t>
      </w:r>
      <w:r>
        <w:rPr>
          <w:rFonts w:ascii="Calibri" w:eastAsiaTheme="minorHAnsi" w:hAnsi="Calibri" w:cs="Calibri"/>
        </w:rPr>
        <w:t xml:space="preserve">cience education, </w:t>
      </w:r>
      <w:r w:rsidRPr="006B3D31">
        <w:rPr>
          <w:rFonts w:ascii="Calibri" w:eastAsiaTheme="minorHAnsi" w:hAnsi="Calibri" w:cs="Calibri"/>
        </w:rPr>
        <w:t>elementary education, history education, middle level education</w:t>
      </w:r>
      <w:r w:rsidR="00E03DB6">
        <w:rPr>
          <w:rFonts w:ascii="Calibri" w:eastAsiaTheme="minorHAnsi" w:hAnsi="Calibri" w:cs="Calibri"/>
        </w:rPr>
        <w:t>.</w:t>
      </w:r>
    </w:p>
    <w:p w:rsidR="006B3D31" w:rsidRDefault="006B3D31" w:rsidP="006B3D31">
      <w:pPr>
        <w:autoSpaceDE w:val="0"/>
        <w:autoSpaceDN w:val="0"/>
        <w:adjustRightInd w:val="0"/>
        <w:rPr>
          <w:rFonts w:ascii="Calibri" w:eastAsiaTheme="minorHAnsi" w:hAnsi="Calibri" w:cs="Calibri"/>
        </w:rPr>
      </w:pPr>
    </w:p>
    <w:p w:rsidR="006B3D31" w:rsidRPr="006B3D31" w:rsidRDefault="006B3D31" w:rsidP="006B3D31">
      <w:pPr>
        <w:autoSpaceDE w:val="0"/>
        <w:autoSpaceDN w:val="0"/>
        <w:adjustRightInd w:val="0"/>
        <w:rPr>
          <w:rFonts w:ascii="Calibri" w:eastAsiaTheme="minorHAnsi" w:hAnsi="Calibri" w:cs="Calibri"/>
        </w:rPr>
      </w:pPr>
      <w:r w:rsidRPr="00BD7CFF">
        <w:rPr>
          <w:rFonts w:ascii="Calibri" w:eastAsiaTheme="minorHAnsi" w:hAnsi="Calibri" w:cs="Calibri"/>
          <w:b/>
        </w:rPr>
        <w:t>B</w:t>
      </w:r>
      <w:r w:rsidRPr="00BD7CFF">
        <w:rPr>
          <w:rFonts w:ascii="Calibri" w:eastAsiaTheme="minorHAnsi" w:hAnsi="Calibri" w:cs="Calibri"/>
          <w:b/>
          <w:sz w:val="22"/>
          <w:szCs w:val="22"/>
        </w:rPr>
        <w:t>)</w:t>
      </w:r>
      <w:r w:rsidRPr="00BD7CFF">
        <w:rPr>
          <w:rFonts w:ascii="Calibri" w:eastAsiaTheme="minorHAnsi" w:hAnsi="Calibri" w:cs="Calibri"/>
          <w:sz w:val="22"/>
          <w:szCs w:val="22"/>
        </w:rPr>
        <w:t xml:space="preserve"> </w:t>
      </w:r>
      <w:r w:rsidRPr="00BD7CFF">
        <w:rPr>
          <w:rFonts w:ascii="Calibri-Bold" w:eastAsiaTheme="minorHAnsi" w:hAnsi="Calibri-Bold" w:cs="Calibri-Bold"/>
          <w:b/>
          <w:bCs/>
          <w:sz w:val="22"/>
          <w:szCs w:val="22"/>
        </w:rPr>
        <w:t>Advanced Study in Professional Education</w:t>
      </w:r>
      <w:r w:rsidR="00E03DB6">
        <w:rPr>
          <w:rFonts w:ascii="Calibri" w:eastAsiaTheme="minorHAnsi" w:hAnsi="Calibri" w:cs="Calibri"/>
        </w:rPr>
        <w:t>: A</w:t>
      </w:r>
      <w:r w:rsidRPr="006B3D31">
        <w:rPr>
          <w:rFonts w:ascii="Calibri" w:eastAsiaTheme="minorHAnsi" w:hAnsi="Calibri" w:cs="Calibri"/>
        </w:rPr>
        <w:t>dva</w:t>
      </w:r>
      <w:r>
        <w:rPr>
          <w:rFonts w:ascii="Calibri" w:eastAsiaTheme="minorHAnsi" w:hAnsi="Calibri" w:cs="Calibri"/>
        </w:rPr>
        <w:t xml:space="preserve">nced programs in curriculum and </w:t>
      </w:r>
      <w:r w:rsidRPr="006B3D31">
        <w:rPr>
          <w:rFonts w:ascii="Calibri" w:eastAsiaTheme="minorHAnsi" w:hAnsi="Calibri" w:cs="Calibri"/>
        </w:rPr>
        <w:t>instruction, teaching and learning, or general pedagogy</w:t>
      </w:r>
      <w:r w:rsidR="00E03DB6">
        <w:rPr>
          <w:rFonts w:ascii="Calibri" w:eastAsiaTheme="minorHAnsi" w:hAnsi="Calibri" w:cs="Calibri"/>
        </w:rPr>
        <w:t>.</w:t>
      </w:r>
    </w:p>
    <w:p w:rsidR="006B3D31" w:rsidRDefault="006B3D31" w:rsidP="006B3D31">
      <w:pPr>
        <w:autoSpaceDE w:val="0"/>
        <w:autoSpaceDN w:val="0"/>
        <w:adjustRightInd w:val="0"/>
        <w:rPr>
          <w:rFonts w:ascii="Calibri" w:eastAsiaTheme="minorHAnsi" w:hAnsi="Calibri" w:cs="Calibri"/>
        </w:rPr>
      </w:pPr>
    </w:p>
    <w:p w:rsidR="006B3D31" w:rsidRPr="00125C61" w:rsidRDefault="006B3D31" w:rsidP="00E03DB6">
      <w:pPr>
        <w:autoSpaceDE w:val="0"/>
        <w:autoSpaceDN w:val="0"/>
        <w:adjustRightInd w:val="0"/>
        <w:rPr>
          <w:rFonts w:ascii="Calibri" w:eastAsiaTheme="minorHAnsi" w:hAnsi="Calibri" w:cs="Calibri"/>
          <w:b/>
        </w:rPr>
      </w:pPr>
      <w:r w:rsidRPr="00125C61">
        <w:rPr>
          <w:rFonts w:ascii="Calibri" w:eastAsiaTheme="minorHAnsi" w:hAnsi="Calibri" w:cs="Calibri"/>
          <w:b/>
        </w:rPr>
        <w:t xml:space="preserve">All advanced programs for teachers must meet standards </w:t>
      </w:r>
      <w:r w:rsidR="00E03DB6" w:rsidRPr="00125C61">
        <w:rPr>
          <w:rFonts w:ascii="Calibri" w:eastAsiaTheme="minorHAnsi" w:hAnsi="Calibri" w:cs="Calibri"/>
          <w:b/>
        </w:rPr>
        <w:t>A.1-A.5.</w:t>
      </w:r>
    </w:p>
    <w:p w:rsidR="00E03DB6" w:rsidRDefault="00E03DB6" w:rsidP="00E03DB6">
      <w:pPr>
        <w:autoSpaceDE w:val="0"/>
        <w:autoSpaceDN w:val="0"/>
        <w:adjustRightInd w:val="0"/>
        <w:rPr>
          <w:rFonts w:ascii="Calibri" w:hAnsi="Calibri"/>
          <w:b/>
          <w:bCs/>
        </w:rPr>
      </w:pPr>
    </w:p>
    <w:p w:rsidR="00034838" w:rsidRPr="000A2E82" w:rsidRDefault="00E03DB6" w:rsidP="00C720E2">
      <w:pPr>
        <w:autoSpaceDE w:val="0"/>
        <w:autoSpaceDN w:val="0"/>
        <w:adjustRightInd w:val="0"/>
        <w:rPr>
          <w:rFonts w:ascii="Calibri" w:eastAsiaTheme="minorHAnsi" w:hAnsi="Calibri" w:cs="Calibri"/>
        </w:rPr>
      </w:pPr>
      <w:r>
        <w:rPr>
          <w:rFonts w:ascii="Calibri-Bold" w:eastAsiaTheme="minorHAnsi" w:hAnsi="Calibri-Bold" w:cs="Calibri-Bold"/>
          <w:b/>
          <w:bCs/>
          <w:sz w:val="22"/>
          <w:szCs w:val="22"/>
        </w:rPr>
        <w:t>A</w:t>
      </w:r>
      <w:r w:rsidR="009F449B" w:rsidRPr="00BD7CFF">
        <w:rPr>
          <w:rFonts w:ascii="Calibri-Bold" w:eastAsiaTheme="minorHAnsi" w:hAnsi="Calibri-Bold" w:cs="Calibri-Bold"/>
          <w:b/>
          <w:bCs/>
          <w:sz w:val="22"/>
          <w:szCs w:val="22"/>
        </w:rPr>
        <w:t>.1</w:t>
      </w:r>
      <w:r w:rsidR="009F449B" w:rsidRPr="009F449B">
        <w:rPr>
          <w:rFonts w:ascii="Calibri-Bold" w:eastAsiaTheme="minorHAnsi" w:hAnsi="Calibri-Bold" w:cs="Calibri-Bold"/>
          <w:b/>
          <w:bCs/>
        </w:rPr>
        <w:t xml:space="preserve"> </w:t>
      </w:r>
      <w:r w:rsidR="000A2E82" w:rsidRPr="000A2E82">
        <w:rPr>
          <w:bCs/>
        </w:rPr>
        <w:t>The program requires that candidates for professional specialties develop a deep understanding of the critical concepts and principles of their field of preparation and, by completion, are able to use professional specialty practices flexibly to advance the learning of all P-12 students toward attainment of college-and-career-readiness standards.</w:t>
      </w:r>
    </w:p>
    <w:p w:rsidR="009F449B" w:rsidRDefault="009F449B" w:rsidP="00295B27">
      <w:pPr>
        <w:pStyle w:val="BodyTextIndent"/>
        <w:ind w:left="720" w:hanging="360"/>
        <w:jc w:val="both"/>
        <w:rPr>
          <w:rFonts w:ascii="Calibri" w:hAnsi="Calibri"/>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BD7CFF">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rPr>
          <w:rFonts w:ascii="Calibri" w:hAnsi="Calibri"/>
        </w:rPr>
      </w:pPr>
    </w:p>
    <w:p w:rsidR="00295B27" w:rsidRPr="002319B3" w:rsidRDefault="00295B27" w:rsidP="00295B27">
      <w:pPr>
        <w:widowControl w:val="0"/>
        <w:autoSpaceDE w:val="0"/>
        <w:autoSpaceDN w:val="0"/>
        <w:adjustRightInd w:val="0"/>
        <w:jc w:val="both"/>
        <w:rPr>
          <w:rFonts w:ascii="Calibri" w:hAnsi="Calibri"/>
        </w:rPr>
      </w:pPr>
    </w:p>
    <w:p w:rsidR="00295B27" w:rsidRPr="00DD7495" w:rsidRDefault="000A2E82" w:rsidP="00C720E2">
      <w:pPr>
        <w:autoSpaceDE w:val="0"/>
        <w:autoSpaceDN w:val="0"/>
        <w:adjustRightInd w:val="0"/>
        <w:rPr>
          <w:rFonts w:asciiTheme="minorHAnsi" w:hAnsiTheme="minorHAnsi"/>
          <w:color w:val="000000"/>
        </w:rPr>
      </w:pPr>
      <w:r>
        <w:rPr>
          <w:rFonts w:ascii="Calibri-Bold" w:eastAsiaTheme="minorHAnsi" w:hAnsi="Calibri-Bold" w:cs="Calibri-Bold"/>
          <w:b/>
          <w:bCs/>
          <w:sz w:val="22"/>
          <w:szCs w:val="22"/>
        </w:rPr>
        <w:lastRenderedPageBreak/>
        <w:t>A.</w:t>
      </w:r>
      <w:r w:rsidR="009F449B" w:rsidRPr="00BD7CFF">
        <w:rPr>
          <w:rFonts w:ascii="Calibri-Bold" w:eastAsiaTheme="minorHAnsi" w:hAnsi="Calibri-Bold" w:cs="Calibri-Bold"/>
          <w:b/>
          <w:bCs/>
          <w:sz w:val="22"/>
          <w:szCs w:val="22"/>
        </w:rPr>
        <w:t>2</w:t>
      </w:r>
      <w:r w:rsidR="00BD7CFF">
        <w:rPr>
          <w:rFonts w:asciiTheme="minorHAnsi" w:hAnsiTheme="minorHAnsi"/>
        </w:rPr>
        <w:t>.</w:t>
      </w:r>
      <w:r w:rsidRPr="000A2E82">
        <w:rPr>
          <w:sz w:val="20"/>
          <w:szCs w:val="20"/>
        </w:rPr>
        <w:t xml:space="preserve"> </w:t>
      </w:r>
      <w:proofErr w:type="gramStart"/>
      <w:r w:rsidRPr="000A2E82">
        <w:t>The</w:t>
      </w:r>
      <w:proofErr w:type="gramEnd"/>
      <w:r w:rsidRPr="000A2E82">
        <w:t xml:space="preserve"> program requires that effective partnerships and high-quality clinical practices are central to preparation so that candidates develop the knowledge, skills, and professional dispositions appropriate for their professional specialty field.</w:t>
      </w:r>
    </w:p>
    <w:p w:rsidR="009F449B" w:rsidRPr="009F449B" w:rsidRDefault="009F449B" w:rsidP="00295B27">
      <w:pPr>
        <w:pStyle w:val="BodyTextIndent"/>
        <w:ind w:left="720" w:hanging="360"/>
        <w:jc w:val="both"/>
        <w:rPr>
          <w:rFonts w:ascii="Calibri" w:hAnsi="Calibri"/>
          <w:szCs w:val="24"/>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BD7CFF">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84514D" w:rsidRDefault="0084514D" w:rsidP="00295B27">
      <w:pPr>
        <w:ind w:left="720" w:hanging="360"/>
        <w:jc w:val="both"/>
        <w:rPr>
          <w:rFonts w:ascii="Calibri" w:hAnsi="Calibri"/>
        </w:rPr>
      </w:pP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3F35A0" w:rsidRDefault="00295B27" w:rsidP="00295B27">
      <w:pPr>
        <w:ind w:left="720"/>
        <w:jc w:val="both"/>
        <w:rPr>
          <w:rFonts w:ascii="Calibri" w:hAnsi="Calibri"/>
          <w:b/>
        </w:rPr>
      </w:pPr>
    </w:p>
    <w:p w:rsidR="00295B27" w:rsidRPr="000A2E82" w:rsidRDefault="000A2E82" w:rsidP="00C720E2">
      <w:pPr>
        <w:autoSpaceDE w:val="0"/>
        <w:autoSpaceDN w:val="0"/>
        <w:adjustRightInd w:val="0"/>
        <w:rPr>
          <w:rFonts w:asciiTheme="minorHAnsi" w:hAnsiTheme="minorHAnsi"/>
        </w:rPr>
      </w:pPr>
      <w:r>
        <w:rPr>
          <w:rFonts w:ascii="Calibri-Bold" w:eastAsiaTheme="minorHAnsi" w:hAnsi="Calibri-Bold" w:cs="Calibri-Bold"/>
          <w:b/>
          <w:bCs/>
          <w:sz w:val="22"/>
          <w:szCs w:val="22"/>
        </w:rPr>
        <w:t>A</w:t>
      </w:r>
      <w:r w:rsidR="009F449B" w:rsidRPr="00BD7CFF">
        <w:rPr>
          <w:rFonts w:ascii="Calibri-Bold" w:eastAsiaTheme="minorHAnsi" w:hAnsi="Calibri-Bold" w:cs="Calibri-Bold"/>
          <w:b/>
          <w:bCs/>
          <w:sz w:val="22"/>
          <w:szCs w:val="22"/>
        </w:rPr>
        <w:t>.3</w:t>
      </w:r>
      <w:r w:rsidR="009F449B" w:rsidRPr="009F449B">
        <w:rPr>
          <w:rFonts w:ascii="Calibri-Bold" w:eastAsiaTheme="minorHAnsi" w:hAnsi="Calibri-Bold" w:cs="Calibri-Bold"/>
          <w:b/>
          <w:bCs/>
        </w:rPr>
        <w:t xml:space="preserve"> </w:t>
      </w:r>
      <w:r w:rsidRPr="000A2E82">
        <w:t>The program requires demonstrating that the quality of advanced program candidates is a continuing and purposeful part of its responsibility so that completers are prepared to perform effectively and can be recommended for certification where applicable.</w:t>
      </w:r>
    </w:p>
    <w:p w:rsidR="009F449B" w:rsidRDefault="009F449B" w:rsidP="00295B27">
      <w:pPr>
        <w:pStyle w:val="BodyTextIndent"/>
        <w:ind w:left="720" w:hanging="360"/>
        <w:jc w:val="both"/>
        <w:rPr>
          <w:rFonts w:ascii="Calibri" w:hAnsi="Calibri"/>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BD7CFF">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pStyle w:val="BodyTextIndent"/>
        <w:ind w:left="720" w:firstLine="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pStyle w:val="BodyTextIndent"/>
        <w:ind w:left="0" w:firstLine="0"/>
        <w:jc w:val="both"/>
        <w:rPr>
          <w:rFonts w:ascii="Calibri" w:hAnsi="Calibri"/>
          <w:szCs w:val="24"/>
        </w:rPr>
      </w:pPr>
    </w:p>
    <w:p w:rsidR="009F449B" w:rsidRDefault="000A2E82" w:rsidP="000A2E82">
      <w:pPr>
        <w:autoSpaceDE w:val="0"/>
        <w:autoSpaceDN w:val="0"/>
        <w:adjustRightInd w:val="0"/>
      </w:pPr>
      <w:r>
        <w:rPr>
          <w:rFonts w:ascii="Calibri-Bold" w:eastAsiaTheme="minorHAnsi" w:hAnsi="Calibri-Bold" w:cs="Calibri-Bold"/>
          <w:b/>
          <w:bCs/>
          <w:sz w:val="22"/>
          <w:szCs w:val="22"/>
        </w:rPr>
        <w:t>A</w:t>
      </w:r>
      <w:r w:rsidR="009F449B" w:rsidRPr="00BD7CFF">
        <w:rPr>
          <w:rFonts w:ascii="Calibri-Bold" w:eastAsiaTheme="minorHAnsi" w:hAnsi="Calibri-Bold" w:cs="Calibri-Bold"/>
          <w:b/>
          <w:bCs/>
          <w:sz w:val="22"/>
          <w:szCs w:val="22"/>
        </w:rPr>
        <w:t>.4</w:t>
      </w:r>
      <w:r w:rsidR="009F449B" w:rsidRPr="009F449B">
        <w:rPr>
          <w:rFonts w:ascii="Calibri-Bold" w:eastAsiaTheme="minorHAnsi" w:hAnsi="Calibri-Bold" w:cs="Calibri-Bold"/>
          <w:b/>
          <w:bCs/>
        </w:rPr>
        <w:t xml:space="preserve"> </w:t>
      </w:r>
      <w:r w:rsidRPr="000A2E82">
        <w:t>The program requires documentation of the satisfaction of its completers from advanced preparation programs and their employers with the relevance and effectiveness of their preparation.</w:t>
      </w:r>
    </w:p>
    <w:p w:rsidR="00491B2E" w:rsidRPr="000A2E82" w:rsidRDefault="00491B2E" w:rsidP="000A2E82">
      <w:pPr>
        <w:autoSpaceDE w:val="0"/>
        <w:autoSpaceDN w:val="0"/>
        <w:adjustRightInd w:val="0"/>
        <w:rPr>
          <w:rFonts w:ascii="Calibri" w:hAnsi="Calibri"/>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BD7CFF">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Pr>
          <w:rFonts w:ascii="Calibri" w:hAnsi="Calibri"/>
        </w:rPr>
        <w:t xml:space="preserve"> </w:t>
      </w:r>
      <w:r>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030A06"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319B3" w:rsidRDefault="00295B27" w:rsidP="00295B27">
      <w:pPr>
        <w:jc w:val="both"/>
        <w:rPr>
          <w:rFonts w:ascii="Calibri" w:hAnsi="Calibri"/>
          <w:color w:val="000000"/>
        </w:rPr>
      </w:pPr>
    </w:p>
    <w:p w:rsidR="009F449B" w:rsidRDefault="000A2E82" w:rsidP="000A2E82">
      <w:pPr>
        <w:autoSpaceDE w:val="0"/>
        <w:autoSpaceDN w:val="0"/>
        <w:adjustRightInd w:val="0"/>
        <w:rPr>
          <w:sz w:val="20"/>
          <w:szCs w:val="20"/>
        </w:rPr>
      </w:pPr>
      <w:r>
        <w:rPr>
          <w:rFonts w:ascii="Calibri-Bold" w:eastAsiaTheme="minorHAnsi" w:hAnsi="Calibri-Bold" w:cs="Calibri-Bold"/>
          <w:b/>
          <w:bCs/>
          <w:sz w:val="22"/>
          <w:szCs w:val="22"/>
        </w:rPr>
        <w:t>A</w:t>
      </w:r>
      <w:r w:rsidR="00D2442D" w:rsidRPr="00BD7CFF">
        <w:rPr>
          <w:rFonts w:ascii="Calibri-Bold" w:eastAsiaTheme="minorHAnsi" w:hAnsi="Calibri-Bold" w:cs="Calibri-Bold"/>
          <w:b/>
          <w:bCs/>
          <w:sz w:val="22"/>
          <w:szCs w:val="22"/>
        </w:rPr>
        <w:t>.5</w:t>
      </w:r>
      <w:r w:rsidR="009F449B" w:rsidRPr="00DD7495">
        <w:rPr>
          <w:rFonts w:asciiTheme="minorHAnsi" w:eastAsiaTheme="minorHAnsi" w:hAnsiTheme="minorHAnsi" w:cs="Calibri-Bold"/>
          <w:b/>
          <w:bCs/>
        </w:rPr>
        <w:t xml:space="preserve"> </w:t>
      </w:r>
      <w:r w:rsidRPr="000A2E82">
        <w:t>The program requires maintaining a quality assurance system comprised of valid data from multiple measures, including evidence of candidates’ and completer positive impact on P-12 student learning and development. The provider supports continuous improvement that is sustained and evidence-based, and that evaluates the effectiveness of its completers. The provider uses the results of inquiry and data collection to establish priorities, enhance program elements and capacity, and test innovations to improve completers’ impact on P-12 student learning and development</w:t>
      </w:r>
      <w:r>
        <w:rPr>
          <w:sz w:val="20"/>
          <w:szCs w:val="20"/>
        </w:rPr>
        <w:t>.</w:t>
      </w:r>
    </w:p>
    <w:p w:rsidR="00491B2E" w:rsidRPr="00D2442D" w:rsidRDefault="00491B2E" w:rsidP="000A2E82">
      <w:pPr>
        <w:autoSpaceDE w:val="0"/>
        <w:autoSpaceDN w:val="0"/>
        <w:adjustRightInd w:val="0"/>
        <w:rPr>
          <w:rFonts w:asciiTheme="minorHAnsi" w:hAnsiTheme="minorHAnsi"/>
          <w:sz w:val="28"/>
          <w:szCs w:val="28"/>
        </w:rPr>
      </w:pPr>
      <w:bookmarkStart w:id="2" w:name="_GoBack"/>
      <w:bookmarkEnd w:id="2"/>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BD7CFF">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95B27" w:rsidRDefault="00295B27" w:rsidP="00295B27">
      <w:pPr>
        <w:ind w:left="720"/>
        <w:jc w:val="both"/>
        <w:rPr>
          <w:rFonts w:ascii="Calibri" w:hAnsi="Calibri"/>
          <w:b/>
        </w:rPr>
      </w:pPr>
    </w:p>
    <w:p w:rsidR="00295B27" w:rsidRPr="00BA3FDA" w:rsidRDefault="00295B27" w:rsidP="00295B27">
      <w:pPr>
        <w:ind w:left="360"/>
        <w:jc w:val="both"/>
        <w:rPr>
          <w:rFonts w:ascii="Calibri" w:hAnsi="Calibri"/>
        </w:rPr>
      </w:pPr>
      <w:r>
        <w:rPr>
          <w:rFonts w:ascii="Calibri" w:hAnsi="Calibri"/>
          <w:sz w:val="20"/>
        </w:rPr>
        <w:tab/>
      </w: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spacing w:line="240" w:lineRule="atLeast"/>
        <w:jc w:val="both"/>
        <w:rPr>
          <w:rFonts w:ascii="Calibri" w:hAnsi="Calibri"/>
          <w:color w:val="000000"/>
        </w:rPr>
      </w:pPr>
    </w:p>
    <w:p w:rsidR="00295B27" w:rsidRPr="00BA3FDA" w:rsidRDefault="00295B27" w:rsidP="00295B27">
      <w:pPr>
        <w:jc w:val="both"/>
        <w:rPr>
          <w:rFonts w:ascii="Calibri" w:hAnsi="Calibri"/>
          <w:b/>
        </w:rPr>
      </w:pPr>
      <w:r w:rsidRPr="009601A4">
        <w:rPr>
          <w:rFonts w:ascii="Calibri" w:hAnsi="Calibri"/>
          <w:b/>
        </w:rPr>
        <w:t>Cu</w:t>
      </w:r>
      <w:r>
        <w:rPr>
          <w:rFonts w:ascii="Calibri" w:hAnsi="Calibri"/>
          <w:b/>
        </w:rPr>
        <w:t>rriculum Exhibit Form SFN 14381</w:t>
      </w:r>
      <w:r w:rsidRPr="00BA3FDA">
        <w:rPr>
          <w:rFonts w:ascii="Calibri" w:hAnsi="Calibri"/>
          <w:b/>
        </w:rPr>
        <w:t xml:space="preserve"> </w:t>
      </w:r>
      <w:r w:rsidR="002C1F69">
        <w:rPr>
          <w:rFonts w:ascii="Calibri" w:hAnsi="Calibri"/>
          <w:b/>
        </w:rPr>
        <w:t xml:space="preserve">(or status sheet): </w:t>
      </w:r>
      <w:r w:rsidRPr="00AA2D0E">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document the entire program including general studies, teaching specialty, and professional education. This form is used to document each student transcript that applies for teacher licensure. Please review this form to make sure all of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rsidR="00295B27" w:rsidRPr="00BA3FDA" w:rsidRDefault="00295B27" w:rsidP="00295B27">
      <w:pPr>
        <w:tabs>
          <w:tab w:val="num" w:pos="1440"/>
        </w:tabs>
        <w:jc w:val="both"/>
        <w:rPr>
          <w:rFonts w:ascii="Calibri" w:hAnsi="Calibri"/>
        </w:rPr>
      </w:pPr>
    </w:p>
    <w:p w:rsidR="00295B27" w:rsidRDefault="00295B27" w:rsidP="00295B27">
      <w:pPr>
        <w:jc w:val="both"/>
        <w:rPr>
          <w:rFonts w:ascii="Calibri" w:hAnsi="Calibri"/>
        </w:rPr>
      </w:pPr>
    </w:p>
    <w:p w:rsidR="00295B27" w:rsidRDefault="00295B27" w:rsidP="00295B27">
      <w:pPr>
        <w:shd w:val="clear" w:color="auto" w:fill="FFFFFF"/>
        <w:jc w:val="both"/>
        <w:rPr>
          <w:rFonts w:ascii="Calibri" w:hAnsi="Calibri"/>
          <w:b/>
        </w:rPr>
      </w:pPr>
      <w:r w:rsidRPr="000C2FB6">
        <w:rPr>
          <w:rFonts w:ascii="Calibri" w:hAnsi="Calibri"/>
          <w:b/>
        </w:rPr>
        <w:t>Content</w:t>
      </w:r>
      <w:r w:rsidR="00F46458">
        <w:rPr>
          <w:rFonts w:ascii="Calibri" w:hAnsi="Calibri"/>
          <w:b/>
        </w:rPr>
        <w:t xml:space="preserve"> Expert Review of Standard and R</w:t>
      </w:r>
      <w:r w:rsidRPr="000C2FB6">
        <w:rPr>
          <w:rFonts w:ascii="Calibri" w:hAnsi="Calibri"/>
          <w:b/>
        </w:rPr>
        <w:t>ecommendation to Sta</w:t>
      </w:r>
      <w:r w:rsidR="002C1F69">
        <w:rPr>
          <w:rFonts w:ascii="Calibri" w:hAnsi="Calibri"/>
          <w:b/>
        </w:rPr>
        <w:t>te Board of Examiner (BOE) Team:</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rsidR="00295B27" w:rsidRDefault="00295B27" w:rsidP="00295B27">
      <w:pPr>
        <w:shd w:val="clear" w:color="auto" w:fill="FFFFFF"/>
        <w:jc w:val="both"/>
        <w:rPr>
          <w:rFonts w:ascii="Calibri" w:hAnsi="Calibri"/>
        </w:rPr>
      </w:pPr>
    </w:p>
    <w:p w:rsidR="00295B27" w:rsidRPr="00BA3FDA" w:rsidRDefault="00295B27" w:rsidP="00295B27">
      <w:pPr>
        <w:jc w:val="both"/>
        <w:rPr>
          <w:rFonts w:ascii="Calibri" w:hAnsi="Calibri"/>
        </w:rPr>
      </w:pPr>
    </w:p>
    <w:p w:rsidR="00295B27"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 xml:space="preserve">ns, please contact </w:t>
      </w:r>
      <w:r w:rsidR="00FB7C1A">
        <w:rPr>
          <w:rFonts w:ascii="Calibri" w:hAnsi="Calibri"/>
        </w:rPr>
        <w:t>the Education Standards and Practices Board Executive Director at (701) 328-9646.</w:t>
      </w:r>
    </w:p>
    <w:p w:rsidR="00FB7C1A" w:rsidRPr="00BA3FDA" w:rsidRDefault="00FB7C1A" w:rsidP="00295B27">
      <w:pPr>
        <w:jc w:val="both"/>
        <w:rPr>
          <w:rFonts w:ascii="Calibri" w:hAnsi="Calibri"/>
        </w:rPr>
      </w:pPr>
    </w:p>
    <w:p w:rsidR="00DF0420"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4D36E5">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sectPr w:rsidR="00DF0420" w:rsidRPr="00175E55" w:rsidSect="0075722B">
      <w:footerReference w:type="even" r:id="rId9"/>
      <w:footerReference w:type="default" r:id="rId10"/>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8C5" w:rsidRDefault="00B728C5">
      <w:r>
        <w:separator/>
      </w:r>
    </w:p>
  </w:endnote>
  <w:endnote w:type="continuationSeparator" w:id="0">
    <w:p w:rsidR="00B728C5" w:rsidRDefault="00B72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007E" w:rsidRDefault="00491B2E" w:rsidP="00F200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1B2E">
      <w:rPr>
        <w:rStyle w:val="PageNumber"/>
        <w:noProof/>
      </w:rPr>
      <w:t>1</w:t>
    </w:r>
    <w:r>
      <w:rPr>
        <w:rStyle w:val="PageNumber"/>
      </w:rPr>
      <w:fldChar w:fldCharType="end"/>
    </w:r>
  </w:p>
  <w:p w:rsidR="00F2007E" w:rsidRDefault="00491B2E" w:rsidP="00F200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8C5" w:rsidRDefault="00B728C5">
      <w:r>
        <w:separator/>
      </w:r>
    </w:p>
  </w:footnote>
  <w:footnote w:type="continuationSeparator" w:id="0">
    <w:p w:rsidR="00B728C5" w:rsidRDefault="00B728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A74"/>
    <w:multiLevelType w:val="hybridMultilevel"/>
    <w:tmpl w:val="EE665374"/>
    <w:lvl w:ilvl="0" w:tplc="1D0227E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DB5C13"/>
    <w:multiLevelType w:val="hybridMultilevel"/>
    <w:tmpl w:val="45CC02AA"/>
    <w:lvl w:ilvl="0" w:tplc="78747F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C315AB"/>
    <w:multiLevelType w:val="hybridMultilevel"/>
    <w:tmpl w:val="035A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9816ED"/>
    <w:multiLevelType w:val="hybridMultilevel"/>
    <w:tmpl w:val="6054E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54301F"/>
    <w:multiLevelType w:val="multilevel"/>
    <w:tmpl w:val="0616E78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48756A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6">
    <w:nsid w:val="0D7A2A94"/>
    <w:multiLevelType w:val="hybridMultilevel"/>
    <w:tmpl w:val="4F667CD8"/>
    <w:lvl w:ilvl="0" w:tplc="535C59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5B64D1"/>
    <w:multiLevelType w:val="multilevel"/>
    <w:tmpl w:val="6250181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55586E"/>
    <w:multiLevelType w:val="hybridMultilevel"/>
    <w:tmpl w:val="8CD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1B799B"/>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11">
    <w:nsid w:val="137F2BE6"/>
    <w:multiLevelType w:val="hybridMultilevel"/>
    <w:tmpl w:val="A150F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C91216"/>
    <w:multiLevelType w:val="multilevel"/>
    <w:tmpl w:val="4C40B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F2432"/>
    <w:multiLevelType w:val="multilevel"/>
    <w:tmpl w:val="01C8B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F9A09E0"/>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5">
    <w:nsid w:val="2131064E"/>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6">
    <w:nsid w:val="22CC28A2"/>
    <w:multiLevelType w:val="hybridMultilevel"/>
    <w:tmpl w:val="F3EA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1101B5"/>
    <w:multiLevelType w:val="hybridMultilevel"/>
    <w:tmpl w:val="4C40B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A85B86"/>
    <w:multiLevelType w:val="hybridMultilevel"/>
    <w:tmpl w:val="FCAC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257F4A"/>
    <w:multiLevelType w:val="multilevel"/>
    <w:tmpl w:val="99A4A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E6810E8"/>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21">
    <w:nsid w:val="3CA1350F"/>
    <w:multiLevelType w:val="multilevel"/>
    <w:tmpl w:val="4B78AA8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5DA742E"/>
    <w:multiLevelType w:val="hybridMultilevel"/>
    <w:tmpl w:val="534E49CA"/>
    <w:lvl w:ilvl="0" w:tplc="E6A005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8101C2"/>
    <w:multiLevelType w:val="hybridMultilevel"/>
    <w:tmpl w:val="55B8C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42342E"/>
    <w:multiLevelType w:val="hybridMultilevel"/>
    <w:tmpl w:val="077A3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1F11B4"/>
    <w:multiLevelType w:val="hybridMultilevel"/>
    <w:tmpl w:val="949ED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9305AC"/>
    <w:multiLevelType w:val="hybridMultilevel"/>
    <w:tmpl w:val="9BD49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844C32"/>
    <w:multiLevelType w:val="hybridMultilevel"/>
    <w:tmpl w:val="0616E78A"/>
    <w:lvl w:ilvl="0" w:tplc="7728A2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D7128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0">
    <w:nsid w:val="5A6773B6"/>
    <w:multiLevelType w:val="multilevel"/>
    <w:tmpl w:val="2FBA82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B9A6AD0"/>
    <w:multiLevelType w:val="multilevel"/>
    <w:tmpl w:val="3408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E6C2EC6"/>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33">
    <w:nsid w:val="5E79200D"/>
    <w:multiLevelType w:val="hybridMultilevel"/>
    <w:tmpl w:val="AAF8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F81133F"/>
    <w:multiLevelType w:val="hybridMultilevel"/>
    <w:tmpl w:val="62501810"/>
    <w:lvl w:ilvl="0" w:tplc="207CAEC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3B0AEE"/>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6">
    <w:nsid w:val="69D671E4"/>
    <w:multiLevelType w:val="multilevel"/>
    <w:tmpl w:val="534E49C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D4956D3"/>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8">
    <w:nsid w:val="6DA34792"/>
    <w:multiLevelType w:val="hybridMultilevel"/>
    <w:tmpl w:val="BEFE9390"/>
    <w:lvl w:ilvl="0" w:tplc="0409000F">
      <w:start w:val="1"/>
      <w:numFmt w:val="decimal"/>
      <w:lvlText w:val="%1."/>
      <w:lvlJc w:val="left"/>
      <w:pPr>
        <w:tabs>
          <w:tab w:val="num" w:pos="7020"/>
        </w:tabs>
        <w:ind w:left="7020" w:hanging="360"/>
      </w:pPr>
      <w:rPr>
        <w:rFonts w:hint="default"/>
      </w:rPr>
    </w:lvl>
    <w:lvl w:ilvl="1" w:tplc="664250B8">
      <w:start w:val="1"/>
      <w:numFmt w:val="lowerLetter"/>
      <w:lvlText w:val="%2."/>
      <w:lvlJc w:val="left"/>
      <w:pPr>
        <w:tabs>
          <w:tab w:val="num" w:pos="7740"/>
        </w:tabs>
        <w:ind w:left="7740" w:hanging="360"/>
      </w:pPr>
      <w:rPr>
        <w:rFonts w:hint="default"/>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39">
    <w:nsid w:val="6FCD665E"/>
    <w:multiLevelType w:val="hybridMultilevel"/>
    <w:tmpl w:val="01C8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E366A"/>
    <w:multiLevelType w:val="hybridMultilevel"/>
    <w:tmpl w:val="4B78AA82"/>
    <w:lvl w:ilvl="0" w:tplc="0C5C63C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982719"/>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42">
    <w:nsid w:val="73FA025C"/>
    <w:multiLevelType w:val="hybridMultilevel"/>
    <w:tmpl w:val="7226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6F579E0"/>
    <w:multiLevelType w:val="multilevel"/>
    <w:tmpl w:val="55B8C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7A96F7C"/>
    <w:multiLevelType w:val="hybridMultilevel"/>
    <w:tmpl w:val="C9D0CFDC"/>
    <w:lvl w:ilvl="0" w:tplc="813442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0F3193"/>
    <w:multiLevelType w:val="hybridMultilevel"/>
    <w:tmpl w:val="042C4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44"/>
  </w:num>
  <w:num w:numId="4">
    <w:abstractNumId w:val="28"/>
  </w:num>
  <w:num w:numId="5">
    <w:abstractNumId w:val="4"/>
  </w:num>
  <w:num w:numId="6">
    <w:abstractNumId w:val="22"/>
  </w:num>
  <w:num w:numId="7">
    <w:abstractNumId w:val="36"/>
  </w:num>
  <w:num w:numId="8">
    <w:abstractNumId w:val="34"/>
  </w:num>
  <w:num w:numId="9">
    <w:abstractNumId w:val="7"/>
  </w:num>
  <w:num w:numId="10">
    <w:abstractNumId w:val="40"/>
  </w:num>
  <w:num w:numId="11">
    <w:abstractNumId w:val="21"/>
  </w:num>
  <w:num w:numId="12">
    <w:abstractNumId w:val="26"/>
  </w:num>
  <w:num w:numId="13">
    <w:abstractNumId w:val="42"/>
  </w:num>
  <w:num w:numId="14">
    <w:abstractNumId w:val="39"/>
  </w:num>
  <w:num w:numId="15">
    <w:abstractNumId w:val="13"/>
  </w:num>
  <w:num w:numId="16">
    <w:abstractNumId w:val="25"/>
  </w:num>
  <w:num w:numId="17">
    <w:abstractNumId w:val="11"/>
  </w:num>
  <w:num w:numId="18">
    <w:abstractNumId w:val="23"/>
  </w:num>
  <w:num w:numId="19">
    <w:abstractNumId w:val="43"/>
  </w:num>
  <w:num w:numId="20">
    <w:abstractNumId w:val="33"/>
  </w:num>
  <w:num w:numId="21">
    <w:abstractNumId w:val="45"/>
  </w:num>
  <w:num w:numId="22">
    <w:abstractNumId w:val="0"/>
  </w:num>
  <w:num w:numId="23">
    <w:abstractNumId w:val="30"/>
  </w:num>
  <w:num w:numId="24">
    <w:abstractNumId w:val="17"/>
  </w:num>
  <w:num w:numId="25">
    <w:abstractNumId w:val="12"/>
  </w:num>
  <w:num w:numId="26">
    <w:abstractNumId w:val="1"/>
  </w:num>
  <w:num w:numId="27">
    <w:abstractNumId w:val="19"/>
  </w:num>
  <w:num w:numId="28">
    <w:abstractNumId w:val="31"/>
  </w:num>
  <w:num w:numId="29">
    <w:abstractNumId w:val="32"/>
  </w:num>
  <w:num w:numId="30">
    <w:abstractNumId w:val="41"/>
  </w:num>
  <w:num w:numId="31">
    <w:abstractNumId w:val="14"/>
  </w:num>
  <w:num w:numId="32">
    <w:abstractNumId w:val="15"/>
  </w:num>
  <w:num w:numId="33">
    <w:abstractNumId w:val="37"/>
  </w:num>
  <w:num w:numId="34">
    <w:abstractNumId w:val="20"/>
  </w:num>
  <w:num w:numId="35">
    <w:abstractNumId w:val="29"/>
  </w:num>
  <w:num w:numId="36">
    <w:abstractNumId w:val="35"/>
  </w:num>
  <w:num w:numId="37">
    <w:abstractNumId w:val="10"/>
  </w:num>
  <w:num w:numId="38">
    <w:abstractNumId w:val="5"/>
  </w:num>
  <w:num w:numId="39">
    <w:abstractNumId w:val="38"/>
  </w:num>
  <w:num w:numId="40">
    <w:abstractNumId w:val="24"/>
  </w:num>
  <w:num w:numId="41">
    <w:abstractNumId w:val="2"/>
  </w:num>
  <w:num w:numId="42">
    <w:abstractNumId w:val="18"/>
  </w:num>
  <w:num w:numId="43">
    <w:abstractNumId w:val="16"/>
  </w:num>
  <w:num w:numId="44">
    <w:abstractNumId w:val="27"/>
  </w:num>
  <w:num w:numId="45">
    <w:abstractNumId w:val="9"/>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27"/>
    <w:rsid w:val="00030A06"/>
    <w:rsid w:val="00034838"/>
    <w:rsid w:val="000A2E82"/>
    <w:rsid w:val="00125C61"/>
    <w:rsid w:val="00175E55"/>
    <w:rsid w:val="00233C53"/>
    <w:rsid w:val="00253973"/>
    <w:rsid w:val="00295B27"/>
    <w:rsid w:val="002C0482"/>
    <w:rsid w:val="002C1F69"/>
    <w:rsid w:val="00302203"/>
    <w:rsid w:val="003060DD"/>
    <w:rsid w:val="003D5EEE"/>
    <w:rsid w:val="004101B1"/>
    <w:rsid w:val="00491B2E"/>
    <w:rsid w:val="004D36E5"/>
    <w:rsid w:val="00501237"/>
    <w:rsid w:val="006B3D31"/>
    <w:rsid w:val="007557C5"/>
    <w:rsid w:val="007F39F2"/>
    <w:rsid w:val="0084514D"/>
    <w:rsid w:val="008C6FB6"/>
    <w:rsid w:val="00935D37"/>
    <w:rsid w:val="009E4219"/>
    <w:rsid w:val="009F449B"/>
    <w:rsid w:val="00A24F1A"/>
    <w:rsid w:val="00A53F41"/>
    <w:rsid w:val="00B728C5"/>
    <w:rsid w:val="00BC66BA"/>
    <w:rsid w:val="00BD7CFF"/>
    <w:rsid w:val="00C720E2"/>
    <w:rsid w:val="00CF65CD"/>
    <w:rsid w:val="00D2442D"/>
    <w:rsid w:val="00D75953"/>
    <w:rsid w:val="00DD7495"/>
    <w:rsid w:val="00E03DB6"/>
    <w:rsid w:val="00F118D8"/>
    <w:rsid w:val="00F46458"/>
    <w:rsid w:val="00F95650"/>
    <w:rsid w:val="00FB7C1A"/>
    <w:rsid w:val="00FC5C6C"/>
    <w:rsid w:val="00FD2657"/>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Reinert, Carol H.</cp:lastModifiedBy>
  <cp:revision>13</cp:revision>
  <cp:lastPrinted>2017-06-23T20:02:00Z</cp:lastPrinted>
  <dcterms:created xsi:type="dcterms:W3CDTF">2017-05-08T17:22:00Z</dcterms:created>
  <dcterms:modified xsi:type="dcterms:W3CDTF">2017-06-23T20:06:00Z</dcterms:modified>
</cp:coreProperties>
</file>